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280D1">
      <w:pPr>
        <w:spacing w:line="360" w:lineRule="auto"/>
        <w:jc w:val="center"/>
        <w:rPr>
          <w:rFonts w:ascii="黑体" w:eastAsia="黑体"/>
          <w:b/>
          <w:kern w:val="22"/>
          <w:sz w:val="52"/>
          <w:szCs w:val="52"/>
        </w:rPr>
      </w:pPr>
    </w:p>
    <w:p w14:paraId="08A759D2">
      <w:pPr>
        <w:spacing w:line="360" w:lineRule="auto"/>
        <w:jc w:val="center"/>
        <w:rPr>
          <w:rFonts w:ascii="黑体" w:eastAsia="黑体"/>
          <w:b/>
          <w:kern w:val="22"/>
          <w:sz w:val="52"/>
          <w:szCs w:val="52"/>
        </w:rPr>
      </w:pPr>
      <w:r>
        <w:rPr>
          <w:rFonts w:hint="eastAsia" w:ascii="黑体" w:eastAsia="黑体"/>
          <w:b/>
          <w:kern w:val="22"/>
          <w:sz w:val="52"/>
          <w:szCs w:val="52"/>
        </w:rPr>
        <w:t>山西省地方标准</w:t>
      </w:r>
    </w:p>
    <w:p w14:paraId="4FE3624C">
      <w:pPr>
        <w:spacing w:line="360" w:lineRule="auto"/>
        <w:jc w:val="center"/>
        <w:rPr>
          <w:rFonts w:ascii="黑体" w:eastAsia="黑体"/>
          <w:b/>
          <w:kern w:val="22"/>
          <w:sz w:val="52"/>
          <w:szCs w:val="52"/>
        </w:rPr>
      </w:pPr>
      <w:r>
        <w:rPr>
          <w:rFonts w:hint="eastAsia" w:ascii="黑体" w:hAnsi="宋体" w:eastAsia="黑体" w:cs="宋体"/>
          <w:b/>
          <w:sz w:val="52"/>
          <w:szCs w:val="52"/>
        </w:rPr>
        <w:t>《</w:t>
      </w:r>
      <w:bookmarkStart w:id="0" w:name="_Toc171719622"/>
      <w:r>
        <w:rPr>
          <w:rFonts w:hint="eastAsia" w:ascii="黑体" w:hAnsi="宋体" w:eastAsia="黑体" w:cs="宋体"/>
          <w:b/>
          <w:sz w:val="52"/>
          <w:szCs w:val="52"/>
          <w:lang w:eastAsia="zh-CN"/>
        </w:rPr>
        <w:t>旱地谷豆条带种植技术规程</w:t>
      </w:r>
      <w:r>
        <w:rPr>
          <w:rFonts w:hint="eastAsia" w:ascii="黑体" w:hAnsi="宋体" w:eastAsia="黑体" w:cs="宋体"/>
          <w:b/>
          <w:sz w:val="52"/>
          <w:szCs w:val="52"/>
        </w:rPr>
        <w:t>》</w:t>
      </w:r>
    </w:p>
    <w:p w14:paraId="59A538E6">
      <w:pPr>
        <w:spacing w:line="360" w:lineRule="auto"/>
        <w:jc w:val="center"/>
        <w:rPr>
          <w:rFonts w:eastAsia="仿宋_GB2312"/>
          <w:b/>
          <w:spacing w:val="20"/>
          <w:kern w:val="22"/>
          <w:sz w:val="44"/>
          <w:szCs w:val="44"/>
        </w:rPr>
      </w:pPr>
      <w:r>
        <w:rPr>
          <w:rFonts w:hint="eastAsia" w:ascii="楷体_GB2312" w:eastAsia="楷体_GB2312"/>
          <w:b/>
          <w:spacing w:val="20"/>
          <w:kern w:val="22"/>
          <w:sz w:val="44"/>
          <w:szCs w:val="44"/>
        </w:rPr>
        <w:t>编制说明</w:t>
      </w:r>
      <w:bookmarkEnd w:id="0"/>
    </w:p>
    <w:p w14:paraId="34A5E803">
      <w:pPr>
        <w:spacing w:line="360" w:lineRule="auto"/>
        <w:rPr>
          <w:rFonts w:eastAsia="仿宋_GB2312"/>
          <w:b/>
          <w:kern w:val="22"/>
          <w:sz w:val="44"/>
          <w:szCs w:val="44"/>
        </w:rPr>
      </w:pPr>
    </w:p>
    <w:p w14:paraId="6DD9EABA">
      <w:pPr>
        <w:spacing w:line="360" w:lineRule="auto"/>
        <w:rPr>
          <w:rFonts w:eastAsia="仿宋_GB2312"/>
          <w:b/>
          <w:kern w:val="22"/>
          <w:sz w:val="44"/>
          <w:szCs w:val="44"/>
        </w:rPr>
      </w:pPr>
    </w:p>
    <w:p w14:paraId="02B96B6C">
      <w:pPr>
        <w:spacing w:line="360" w:lineRule="auto"/>
        <w:rPr>
          <w:rFonts w:eastAsia="仿宋_GB2312"/>
          <w:b/>
          <w:kern w:val="22"/>
          <w:sz w:val="44"/>
          <w:szCs w:val="44"/>
        </w:rPr>
      </w:pPr>
    </w:p>
    <w:p w14:paraId="54CE66DF">
      <w:pPr>
        <w:spacing w:line="360" w:lineRule="auto"/>
        <w:rPr>
          <w:rFonts w:eastAsia="仿宋_GB2312"/>
          <w:b/>
          <w:kern w:val="22"/>
          <w:sz w:val="44"/>
          <w:szCs w:val="44"/>
        </w:rPr>
      </w:pPr>
    </w:p>
    <w:p w14:paraId="3DDDE322">
      <w:pPr>
        <w:spacing w:line="360" w:lineRule="auto"/>
        <w:ind w:firstLine="1911" w:firstLineChars="595"/>
        <w:rPr>
          <w:rFonts w:ascii="宋体" w:hAnsi="宋体"/>
          <w:b/>
          <w:kern w:val="22"/>
          <w:sz w:val="32"/>
          <w:szCs w:val="32"/>
        </w:rPr>
      </w:pPr>
    </w:p>
    <w:p w14:paraId="56B5737C">
      <w:pPr>
        <w:spacing w:line="360" w:lineRule="auto"/>
        <w:rPr>
          <w:rFonts w:ascii="宋体" w:hAnsi="宋体"/>
          <w:b/>
          <w:kern w:val="22"/>
          <w:sz w:val="32"/>
          <w:szCs w:val="32"/>
        </w:rPr>
      </w:pPr>
    </w:p>
    <w:p w14:paraId="52920686">
      <w:pPr>
        <w:spacing w:line="360" w:lineRule="auto"/>
        <w:rPr>
          <w:rFonts w:ascii="宋体" w:hAnsi="宋体"/>
          <w:b/>
          <w:kern w:val="22"/>
          <w:sz w:val="10"/>
          <w:szCs w:val="10"/>
        </w:rPr>
      </w:pPr>
    </w:p>
    <w:p w14:paraId="7D12E760">
      <w:pPr>
        <w:spacing w:line="360" w:lineRule="auto"/>
        <w:rPr>
          <w:rFonts w:ascii="宋体" w:hAnsi="宋体"/>
          <w:b/>
          <w:kern w:val="22"/>
          <w:sz w:val="10"/>
          <w:szCs w:val="10"/>
        </w:rPr>
      </w:pPr>
    </w:p>
    <w:p w14:paraId="4C4A8E55">
      <w:pPr>
        <w:tabs>
          <w:tab w:val="left" w:pos="6396"/>
        </w:tabs>
        <w:spacing w:line="360" w:lineRule="auto"/>
        <w:rPr>
          <w:rFonts w:ascii="宋体" w:hAnsi="宋体"/>
          <w:b/>
          <w:kern w:val="22"/>
          <w:sz w:val="10"/>
          <w:szCs w:val="10"/>
        </w:rPr>
      </w:pPr>
      <w:r>
        <w:rPr>
          <w:rFonts w:ascii="宋体" w:hAnsi="宋体"/>
          <w:b/>
          <w:kern w:val="22"/>
          <w:sz w:val="10"/>
          <w:szCs w:val="10"/>
        </w:rPr>
        <w:tab/>
      </w:r>
    </w:p>
    <w:p w14:paraId="3F1FA813">
      <w:pPr>
        <w:spacing w:line="360" w:lineRule="auto"/>
        <w:rPr>
          <w:rFonts w:ascii="宋体" w:hAnsi="宋体"/>
          <w:b/>
          <w:kern w:val="22"/>
          <w:sz w:val="10"/>
          <w:szCs w:val="10"/>
        </w:rPr>
      </w:pPr>
    </w:p>
    <w:p w14:paraId="552AE495">
      <w:pPr>
        <w:spacing w:line="360" w:lineRule="auto"/>
        <w:rPr>
          <w:rFonts w:ascii="宋体" w:hAnsi="宋体"/>
          <w:b/>
          <w:kern w:val="22"/>
          <w:sz w:val="10"/>
          <w:szCs w:val="10"/>
        </w:rPr>
      </w:pPr>
    </w:p>
    <w:p w14:paraId="2385B118">
      <w:pPr>
        <w:pStyle w:val="12"/>
        <w:ind w:firstLine="560"/>
      </w:pPr>
    </w:p>
    <w:p w14:paraId="65DBC8FE">
      <w:pPr>
        <w:spacing w:line="360" w:lineRule="auto"/>
        <w:rPr>
          <w:rFonts w:ascii="宋体" w:hAnsi="宋体"/>
          <w:b/>
          <w:kern w:val="22"/>
          <w:sz w:val="10"/>
          <w:szCs w:val="10"/>
        </w:rPr>
      </w:pPr>
    </w:p>
    <w:p w14:paraId="32537305">
      <w:pPr>
        <w:spacing w:line="360" w:lineRule="auto"/>
        <w:rPr>
          <w:rFonts w:ascii="宋体" w:hAnsi="宋体"/>
          <w:b/>
          <w:kern w:val="22"/>
          <w:sz w:val="10"/>
          <w:szCs w:val="10"/>
        </w:rPr>
      </w:pPr>
    </w:p>
    <w:p w14:paraId="5B9F5F70">
      <w:pPr>
        <w:spacing w:line="360" w:lineRule="auto"/>
        <w:rPr>
          <w:rFonts w:ascii="宋体" w:hAnsi="宋体"/>
          <w:b/>
          <w:kern w:val="22"/>
          <w:sz w:val="10"/>
          <w:szCs w:val="10"/>
        </w:rPr>
      </w:pPr>
    </w:p>
    <w:p w14:paraId="07E1E999">
      <w:pPr>
        <w:spacing w:line="360" w:lineRule="auto"/>
        <w:jc w:val="center"/>
        <w:rPr>
          <w:rFonts w:ascii="宋体" w:hAnsi="宋体"/>
          <w:b/>
          <w:kern w:val="22"/>
          <w:sz w:val="10"/>
          <w:szCs w:val="10"/>
        </w:rPr>
      </w:pPr>
      <w:r>
        <w:rPr>
          <w:rFonts w:hint="eastAsia" w:ascii="宋体" w:hAnsi="宋体"/>
          <w:b/>
          <w:kern w:val="22"/>
          <w:sz w:val="32"/>
          <w:szCs w:val="32"/>
        </w:rPr>
        <w:t>编制单位：山西农业大学</w:t>
      </w:r>
      <w:r>
        <w:rPr>
          <w:rFonts w:hint="eastAsia" w:ascii="仿宋_GB2312" w:hAnsi="宋体" w:eastAsia="仿宋_GB2312"/>
          <w:sz w:val="32"/>
          <w:szCs w:val="32"/>
        </w:rPr>
        <w:t xml:space="preserve">      </w:t>
      </w:r>
      <w:r>
        <w:rPr>
          <w:rFonts w:hint="eastAsia" w:ascii="宋体" w:hAnsi="宋体"/>
          <w:b/>
          <w:kern w:val="22"/>
          <w:sz w:val="32"/>
          <w:szCs w:val="32"/>
        </w:rPr>
        <w:t xml:space="preserve"> </w:t>
      </w:r>
    </w:p>
    <w:p w14:paraId="7AFC9B32">
      <w:pPr>
        <w:spacing w:line="360" w:lineRule="auto"/>
        <w:jc w:val="center"/>
        <w:rPr>
          <w:rFonts w:ascii="宋体" w:hAnsi="宋体"/>
          <w:b/>
          <w:sz w:val="30"/>
          <w:szCs w:val="30"/>
        </w:rPr>
        <w:sectPr>
          <w:headerReference r:id="rId4" w:type="first"/>
          <w:footerReference r:id="rId7" w:type="first"/>
          <w:headerReference r:id="rId3" w:type="default"/>
          <w:footerReference r:id="rId5" w:type="default"/>
          <w:footerReference r:id="rId6" w:type="even"/>
          <w:pgSz w:w="11906" w:h="16838"/>
          <w:pgMar w:top="1418" w:right="1701" w:bottom="1531" w:left="1701" w:header="851" w:footer="992" w:gutter="0"/>
          <w:pgNumType w:start="0"/>
          <w:cols w:space="720" w:num="1"/>
          <w:titlePg/>
          <w:docGrid w:type="lines" w:linePitch="312" w:charSpace="0"/>
        </w:sectPr>
      </w:pPr>
      <w:r>
        <w:rPr>
          <w:rFonts w:hint="eastAsia" w:ascii="宋体" w:hAnsi="宋体"/>
          <w:b/>
          <w:sz w:val="32"/>
          <w:szCs w:val="32"/>
        </w:rPr>
        <w:t xml:space="preserve"> 二〇二</w:t>
      </w:r>
      <w:r>
        <w:rPr>
          <w:rFonts w:hint="eastAsia" w:ascii="宋体" w:hAnsi="宋体"/>
          <w:b/>
          <w:sz w:val="32"/>
          <w:szCs w:val="32"/>
          <w:lang w:val="en-US" w:eastAsia="zh-CN"/>
        </w:rPr>
        <w:t>四</w:t>
      </w:r>
      <w:r>
        <w:rPr>
          <w:rFonts w:hint="eastAsia" w:ascii="宋体" w:hAnsi="宋体"/>
          <w:b/>
          <w:sz w:val="32"/>
          <w:szCs w:val="32"/>
        </w:rPr>
        <w:t>年</w:t>
      </w:r>
    </w:p>
    <w:p w14:paraId="6511D0D3">
      <w:pPr>
        <w:rPr>
          <w:rFonts w:ascii="宋体" w:hAnsi="宋体" w:cs="宋体"/>
          <w:b/>
          <w:sz w:val="32"/>
          <w:szCs w:val="32"/>
        </w:rPr>
      </w:pPr>
      <w:r>
        <w:rPr>
          <w:rFonts w:hint="eastAsia" w:ascii="宋体" w:hAnsi="宋体" w:cs="宋体"/>
          <w:b/>
          <w:sz w:val="32"/>
          <w:szCs w:val="32"/>
        </w:rPr>
        <w:t>一、工作简况</w:t>
      </w:r>
    </w:p>
    <w:p w14:paraId="1D550495">
      <w:pPr>
        <w:jc w:val="left"/>
        <w:rPr>
          <w:rFonts w:ascii="楷体_GB2312" w:hAnsi="楷体_GB2312" w:eastAsia="楷体_GB2312" w:cs="楷体_GB2312"/>
          <w:b/>
          <w:bCs/>
          <w:sz w:val="30"/>
          <w:szCs w:val="30"/>
        </w:rPr>
      </w:pPr>
      <w:r>
        <w:rPr>
          <w:rFonts w:hint="eastAsia" w:ascii="楷体_GB2312" w:hAnsi="楷体_GB2312" w:eastAsia="楷体_GB2312" w:cs="楷体_GB2312"/>
          <w:b/>
          <w:bCs/>
          <w:sz w:val="30"/>
          <w:szCs w:val="30"/>
        </w:rPr>
        <w:t>（一）任务来源</w:t>
      </w:r>
    </w:p>
    <w:p w14:paraId="19A53B88">
      <w:pPr>
        <w:ind w:firstLine="560" w:firstLineChars="200"/>
        <w:rPr>
          <w:rFonts w:hint="eastAsia" w:eastAsia="楷体_GB2312"/>
          <w:sz w:val="28"/>
          <w:szCs w:val="28"/>
        </w:rPr>
      </w:pPr>
      <w:r>
        <w:rPr>
          <w:rFonts w:hint="eastAsia" w:eastAsia="楷体_GB2312"/>
          <w:sz w:val="28"/>
          <w:szCs w:val="28"/>
        </w:rPr>
        <w:t>谷子和大豆均是我国北方早作农业区的主要种植作物。谷子是山西省的杂粮名片，</w:t>
      </w:r>
      <w:r>
        <w:rPr>
          <w:rFonts w:hint="eastAsia" w:eastAsia="楷体_GB2312"/>
          <w:sz w:val="28"/>
          <w:szCs w:val="28"/>
          <w:lang w:val="en-US" w:eastAsia="zh-CN"/>
        </w:rPr>
        <w:t>是</w:t>
      </w:r>
      <w:r>
        <w:rPr>
          <w:rFonts w:hint="eastAsia" w:eastAsia="楷体_GB2312"/>
          <w:sz w:val="28"/>
          <w:szCs w:val="28"/>
        </w:rPr>
        <w:t>山西省</w:t>
      </w:r>
      <w:r>
        <w:rPr>
          <w:rFonts w:hint="eastAsia" w:eastAsia="楷体_GB2312"/>
          <w:sz w:val="28"/>
          <w:szCs w:val="28"/>
          <w:lang w:val="en-US" w:eastAsia="zh-CN"/>
        </w:rPr>
        <w:t>的</w:t>
      </w:r>
      <w:r>
        <w:rPr>
          <w:rFonts w:hint="eastAsia" w:eastAsia="楷体_GB2312"/>
          <w:sz w:val="28"/>
          <w:szCs w:val="28"/>
        </w:rPr>
        <w:t>特色</w:t>
      </w:r>
      <w:r>
        <w:rPr>
          <w:rFonts w:hint="eastAsia" w:eastAsia="楷体_GB2312"/>
          <w:sz w:val="28"/>
          <w:szCs w:val="28"/>
          <w:lang w:val="en-US" w:eastAsia="zh-CN"/>
        </w:rPr>
        <w:t>优势作物</w:t>
      </w:r>
      <w:r>
        <w:rPr>
          <w:rFonts w:hint="eastAsia" w:eastAsia="楷体_GB2312"/>
          <w:sz w:val="28"/>
          <w:szCs w:val="28"/>
        </w:rPr>
        <w:t>。大豆因其固氮作用，可以提升地力，是重要的养地作物，</w:t>
      </w:r>
      <w:r>
        <w:rPr>
          <w:rFonts w:hint="eastAsia" w:eastAsia="楷体_GB2312"/>
          <w:sz w:val="28"/>
          <w:szCs w:val="28"/>
          <w:lang w:val="en-US" w:eastAsia="zh-CN"/>
        </w:rPr>
        <w:t>具</w:t>
      </w:r>
      <w:r>
        <w:rPr>
          <w:rFonts w:hint="eastAsia" w:eastAsia="楷体_GB2312"/>
          <w:sz w:val="28"/>
          <w:szCs w:val="28"/>
        </w:rPr>
        <w:t>有削减谷子等禾本科杂粮作物连作障碍的作用。</w:t>
      </w:r>
    </w:p>
    <w:p w14:paraId="573126F9">
      <w:pPr>
        <w:ind w:firstLine="560" w:firstLineChars="200"/>
        <w:rPr>
          <w:rFonts w:hint="eastAsia" w:eastAsia="楷体_GB2312"/>
          <w:sz w:val="28"/>
          <w:szCs w:val="28"/>
        </w:rPr>
      </w:pPr>
      <w:r>
        <w:rPr>
          <w:rFonts w:hint="eastAsia" w:eastAsia="楷体_GB2312"/>
          <w:sz w:val="28"/>
          <w:szCs w:val="28"/>
        </w:rPr>
        <w:t>近年来，谷子和大豆由于受到大宗粮饲作物的冲击，又因两种作物忌连作的特性，规模扩大受限，因此市场缺口较大，价格不断攀升。大豆作为主要的油料作物，供应缺口</w:t>
      </w:r>
      <w:r>
        <w:rPr>
          <w:rFonts w:hint="eastAsia" w:eastAsia="楷体_GB2312"/>
          <w:sz w:val="28"/>
          <w:szCs w:val="28"/>
          <w:lang w:val="en-US" w:eastAsia="zh-CN"/>
        </w:rPr>
        <w:t>较</w:t>
      </w:r>
      <w:r>
        <w:rPr>
          <w:rFonts w:hint="eastAsia" w:eastAsia="楷体_GB2312"/>
          <w:sz w:val="28"/>
          <w:szCs w:val="28"/>
        </w:rPr>
        <w:t>大，卡脖子问题一直存在，当下亟需大豆面积逆势扩展，以保证大豆供应量和市场稳定</w:t>
      </w:r>
      <w:r>
        <w:rPr>
          <w:rFonts w:hint="eastAsia" w:eastAsia="楷体_GB2312"/>
          <w:sz w:val="28"/>
          <w:szCs w:val="28"/>
          <w:lang w:eastAsia="zh-CN"/>
        </w:rPr>
        <w:t>，</w:t>
      </w:r>
      <w:r>
        <w:rPr>
          <w:rFonts w:hint="eastAsia" w:eastAsia="楷体_GB2312"/>
          <w:sz w:val="28"/>
          <w:szCs w:val="28"/>
        </w:rPr>
        <w:t>牢牢端稳中国人的“油瓶子”。谷豆复合种植提高土地使用效率，可打破连作障碍限制，兼顾谷子、大豆产能协同提升</w:t>
      </w:r>
      <w:r>
        <w:rPr>
          <w:rFonts w:hint="eastAsia" w:eastAsia="楷体_GB2312"/>
          <w:sz w:val="28"/>
          <w:szCs w:val="28"/>
          <w:lang w:eastAsia="zh-CN"/>
        </w:rPr>
        <w:t>，</w:t>
      </w:r>
      <w:r>
        <w:rPr>
          <w:rFonts w:hint="eastAsia" w:eastAsia="楷体_GB2312"/>
          <w:sz w:val="28"/>
          <w:szCs w:val="28"/>
          <w:lang w:val="en-US" w:eastAsia="zh-CN"/>
        </w:rPr>
        <w:t>改变</w:t>
      </w:r>
      <w:r>
        <w:rPr>
          <w:rFonts w:hint="eastAsia" w:eastAsia="楷体_GB2312"/>
          <w:sz w:val="28"/>
          <w:szCs w:val="28"/>
        </w:rPr>
        <w:t>单作难以满足谷子、大豆实际需求</w:t>
      </w:r>
      <w:r>
        <w:rPr>
          <w:rFonts w:hint="eastAsia" w:eastAsia="楷体_GB2312"/>
          <w:sz w:val="28"/>
          <w:szCs w:val="28"/>
          <w:lang w:val="en-US" w:eastAsia="zh-CN"/>
        </w:rPr>
        <w:t>的现状</w:t>
      </w:r>
      <w:r>
        <w:rPr>
          <w:rFonts w:hint="eastAsia" w:eastAsia="楷体_GB2312"/>
          <w:sz w:val="28"/>
          <w:szCs w:val="28"/>
        </w:rPr>
        <w:t>。因此，在充分利用旱区有限的土地面积等自然因素的前提下，调整谷豆种植结构</w:t>
      </w:r>
      <w:r>
        <w:rPr>
          <w:rFonts w:hint="eastAsia" w:eastAsia="楷体_GB2312"/>
          <w:sz w:val="28"/>
          <w:szCs w:val="28"/>
          <w:lang w:val="en-US" w:eastAsia="zh-CN"/>
        </w:rPr>
        <w:t>很有必要</w:t>
      </w:r>
      <w:r>
        <w:rPr>
          <w:rFonts w:hint="eastAsia" w:eastAsia="楷体_GB2312"/>
          <w:sz w:val="28"/>
          <w:szCs w:val="28"/>
        </w:rPr>
        <w:t xml:space="preserve">。 </w:t>
      </w:r>
    </w:p>
    <w:p w14:paraId="2B580810">
      <w:pPr>
        <w:ind w:firstLine="560" w:firstLineChars="200"/>
        <w:rPr>
          <w:rFonts w:hint="eastAsia" w:eastAsia="楷体_GB2312"/>
          <w:sz w:val="28"/>
          <w:szCs w:val="28"/>
        </w:rPr>
      </w:pPr>
      <w:r>
        <w:rPr>
          <w:rFonts w:hint="eastAsia" w:eastAsia="楷体_GB2312"/>
          <w:sz w:val="28"/>
          <w:szCs w:val="28"/>
          <w:lang w:val="en-US" w:eastAsia="zh-CN"/>
        </w:rPr>
        <w:t>在</w:t>
      </w:r>
      <w:r>
        <w:rPr>
          <w:rFonts w:eastAsia="楷体_GB2312"/>
          <w:sz w:val="28"/>
          <w:szCs w:val="28"/>
        </w:rPr>
        <w:t>国家科技支撑计划课题</w:t>
      </w:r>
      <w:r>
        <w:rPr>
          <w:rFonts w:hint="eastAsia" w:eastAsia="楷体_GB2312"/>
          <w:sz w:val="28"/>
          <w:szCs w:val="28"/>
        </w:rPr>
        <w:t>“</w:t>
      </w:r>
      <w:r>
        <w:rPr>
          <w:rFonts w:eastAsia="楷体_GB2312"/>
          <w:sz w:val="28"/>
          <w:szCs w:val="28"/>
        </w:rPr>
        <w:t>华北半湿润偏旱区粮经饲综合技术集成与示范</w:t>
      </w:r>
      <w:r>
        <w:rPr>
          <w:rFonts w:hint="eastAsia" w:eastAsia="楷体_GB2312"/>
          <w:sz w:val="28"/>
          <w:szCs w:val="28"/>
        </w:rPr>
        <w:t>”</w:t>
      </w:r>
      <w:r>
        <w:rPr>
          <w:rFonts w:hint="eastAsia" w:eastAsia="楷体_GB2312"/>
          <w:sz w:val="28"/>
          <w:szCs w:val="28"/>
          <w:lang w:eastAsia="zh-CN"/>
        </w:rPr>
        <w:t>、</w:t>
      </w:r>
      <w:r>
        <w:rPr>
          <w:rFonts w:eastAsia="楷体_GB2312"/>
          <w:sz w:val="28"/>
          <w:szCs w:val="28"/>
        </w:rPr>
        <w:t>山西省重点研发计划项目</w:t>
      </w:r>
      <w:r>
        <w:rPr>
          <w:rFonts w:hint="eastAsia" w:eastAsia="楷体_GB2312"/>
          <w:sz w:val="28"/>
          <w:szCs w:val="28"/>
        </w:rPr>
        <w:t>“</w:t>
      </w:r>
      <w:r>
        <w:rPr>
          <w:rFonts w:eastAsia="楷体_GB2312"/>
          <w:sz w:val="28"/>
          <w:szCs w:val="28"/>
        </w:rPr>
        <w:t>旱作谷田轮作休耕模式评价及长期定点连作障碍研究</w:t>
      </w:r>
      <w:r>
        <w:rPr>
          <w:rFonts w:hint="eastAsia" w:eastAsia="楷体_GB2312"/>
          <w:sz w:val="28"/>
          <w:szCs w:val="28"/>
        </w:rPr>
        <w:t>”</w:t>
      </w:r>
      <w:r>
        <w:rPr>
          <w:rFonts w:hint="eastAsia" w:eastAsia="楷体_GB2312"/>
          <w:sz w:val="28"/>
          <w:szCs w:val="28"/>
          <w:lang w:eastAsia="zh-CN"/>
        </w:rPr>
        <w:t>、</w:t>
      </w:r>
      <w:r>
        <w:rPr>
          <w:rFonts w:eastAsia="楷体_GB2312"/>
          <w:sz w:val="28"/>
          <w:szCs w:val="28"/>
        </w:rPr>
        <w:t>山西省农业科学院重点招标项目</w:t>
      </w:r>
      <w:r>
        <w:rPr>
          <w:rFonts w:hint="eastAsia" w:eastAsia="楷体_GB2312"/>
          <w:sz w:val="28"/>
          <w:szCs w:val="28"/>
        </w:rPr>
        <w:t>“</w:t>
      </w:r>
      <w:r>
        <w:rPr>
          <w:rFonts w:eastAsia="楷体_GB2312"/>
          <w:sz w:val="28"/>
          <w:szCs w:val="28"/>
        </w:rPr>
        <w:t>旱地多作高效种植关键技术研究</w:t>
      </w:r>
      <w:r>
        <w:rPr>
          <w:rFonts w:hint="eastAsia" w:eastAsia="楷体_GB2312"/>
          <w:sz w:val="28"/>
          <w:szCs w:val="28"/>
        </w:rPr>
        <w:t>”</w:t>
      </w:r>
      <w:r>
        <w:rPr>
          <w:rFonts w:hint="eastAsia" w:eastAsia="楷体_GB2312"/>
          <w:sz w:val="28"/>
          <w:szCs w:val="28"/>
          <w:lang w:eastAsia="zh-CN"/>
        </w:rPr>
        <w:t>、</w:t>
      </w:r>
      <w:r>
        <w:rPr>
          <w:rFonts w:eastAsia="楷体_GB2312"/>
          <w:sz w:val="28"/>
          <w:szCs w:val="28"/>
        </w:rPr>
        <w:t>山西省重点研发计划重点项目</w:t>
      </w:r>
      <w:r>
        <w:rPr>
          <w:rFonts w:hint="eastAsia" w:eastAsia="楷体_GB2312"/>
          <w:sz w:val="28"/>
          <w:szCs w:val="28"/>
        </w:rPr>
        <w:t>“</w:t>
      </w:r>
      <w:r>
        <w:rPr>
          <w:rFonts w:eastAsia="楷体_GB2312"/>
          <w:sz w:val="28"/>
          <w:szCs w:val="28"/>
        </w:rPr>
        <w:t>山西有机旱作农业关键技术研究与示范</w:t>
      </w:r>
      <w:r>
        <w:rPr>
          <w:rFonts w:hint="eastAsia" w:eastAsia="楷体_GB2312"/>
          <w:sz w:val="28"/>
          <w:szCs w:val="28"/>
        </w:rPr>
        <w:t>”</w:t>
      </w:r>
      <w:r>
        <w:rPr>
          <w:rFonts w:eastAsia="楷体_GB2312"/>
          <w:sz w:val="28"/>
          <w:szCs w:val="28"/>
        </w:rPr>
        <w:t xml:space="preserve"> 研究等项目（课题）的</w:t>
      </w:r>
      <w:r>
        <w:rPr>
          <w:rFonts w:hint="eastAsia" w:eastAsia="楷体_GB2312"/>
          <w:sz w:val="28"/>
          <w:szCs w:val="28"/>
          <w:lang w:val="en-US" w:eastAsia="zh-CN"/>
        </w:rPr>
        <w:t>资助下，开展了旱地谷豆条带种植</w:t>
      </w:r>
      <w:r>
        <w:rPr>
          <w:rFonts w:hint="eastAsia" w:eastAsia="楷体_GB2312"/>
          <w:sz w:val="28"/>
          <w:szCs w:val="28"/>
        </w:rPr>
        <w:t>技术的</w:t>
      </w:r>
      <w:r>
        <w:rPr>
          <w:rFonts w:eastAsia="楷体_GB2312"/>
          <w:sz w:val="28"/>
          <w:szCs w:val="28"/>
        </w:rPr>
        <w:t>研发</w:t>
      </w:r>
      <w:r>
        <w:rPr>
          <w:rFonts w:hint="eastAsia" w:eastAsia="楷体_GB2312"/>
          <w:sz w:val="28"/>
          <w:szCs w:val="28"/>
          <w:lang w:eastAsia="zh-CN"/>
        </w:rPr>
        <w:t>、</w:t>
      </w:r>
      <w:r>
        <w:rPr>
          <w:rFonts w:hint="eastAsia" w:eastAsia="楷体_GB2312"/>
          <w:sz w:val="28"/>
          <w:szCs w:val="28"/>
        </w:rPr>
        <w:t>示范</w:t>
      </w:r>
      <w:r>
        <w:rPr>
          <w:rFonts w:hint="eastAsia" w:eastAsia="楷体_GB2312"/>
          <w:sz w:val="28"/>
          <w:szCs w:val="28"/>
          <w:lang w:val="en-US" w:eastAsia="zh-CN"/>
        </w:rPr>
        <w:t>和生产</w:t>
      </w:r>
      <w:r>
        <w:rPr>
          <w:rFonts w:eastAsia="楷体_GB2312"/>
          <w:sz w:val="28"/>
          <w:szCs w:val="28"/>
        </w:rPr>
        <w:t>。</w:t>
      </w:r>
    </w:p>
    <w:p w14:paraId="0FD88EAE">
      <w:pPr>
        <w:ind w:firstLine="560" w:firstLineChars="200"/>
        <w:rPr>
          <w:rFonts w:eastAsia="楷体_GB2312"/>
          <w:sz w:val="28"/>
          <w:szCs w:val="28"/>
        </w:rPr>
      </w:pPr>
      <w:r>
        <w:rPr>
          <w:rFonts w:hint="eastAsia" w:eastAsia="楷体_GB2312"/>
          <w:sz w:val="28"/>
          <w:szCs w:val="28"/>
        </w:rPr>
        <w:t>为</w:t>
      </w:r>
      <w:r>
        <w:rPr>
          <w:rFonts w:eastAsia="楷体_GB2312"/>
          <w:sz w:val="28"/>
          <w:szCs w:val="28"/>
        </w:rPr>
        <w:t>全面落实山西省委省政府《关于贯彻落实&lt;国家标准化发展纲要&gt;的实施意见》</w:t>
      </w:r>
      <w:r>
        <w:rPr>
          <w:rFonts w:hint="eastAsia" w:eastAsia="楷体_GB2312"/>
          <w:sz w:val="28"/>
          <w:szCs w:val="28"/>
        </w:rPr>
        <w:t>，按照</w:t>
      </w:r>
      <w:r>
        <w:rPr>
          <w:rFonts w:eastAsia="楷体_GB2312"/>
          <w:sz w:val="28"/>
          <w:szCs w:val="28"/>
        </w:rPr>
        <w:t>山西省市场监督管理局《</w:t>
      </w:r>
      <w:r>
        <w:rPr>
          <w:rFonts w:hint="eastAsia" w:eastAsia="楷体_GB2312"/>
          <w:sz w:val="28"/>
          <w:szCs w:val="28"/>
        </w:rPr>
        <w:t>山西省市场监督管理局关于下达2023年度第七批山西省地方标准制修订项目计划的通知</w:t>
      </w:r>
      <w:r>
        <w:rPr>
          <w:rFonts w:eastAsia="楷体_GB2312"/>
          <w:sz w:val="28"/>
          <w:szCs w:val="28"/>
        </w:rPr>
        <w:t>》，</w:t>
      </w:r>
      <w:r>
        <w:rPr>
          <w:rFonts w:hint="eastAsia" w:eastAsia="楷体_GB2312"/>
          <w:sz w:val="28"/>
          <w:szCs w:val="28"/>
        </w:rPr>
        <w:t>以</w:t>
      </w:r>
      <w:r>
        <w:rPr>
          <w:rFonts w:eastAsia="楷体_GB2312"/>
          <w:sz w:val="28"/>
          <w:szCs w:val="28"/>
        </w:rPr>
        <w:t>山西</w:t>
      </w:r>
      <w:r>
        <w:rPr>
          <w:rFonts w:hint="eastAsia" w:eastAsia="楷体_GB2312"/>
          <w:sz w:val="28"/>
          <w:szCs w:val="28"/>
        </w:rPr>
        <w:t>农业大学、山西省农产品质量安全中心为起草单位，</w:t>
      </w:r>
      <w:r>
        <w:rPr>
          <w:rFonts w:hint="eastAsia" w:eastAsia="楷体_GB2312"/>
          <w:sz w:val="28"/>
          <w:szCs w:val="28"/>
          <w:lang w:val="en-US" w:eastAsia="zh-CN"/>
        </w:rPr>
        <w:t>编制</w:t>
      </w:r>
      <w:r>
        <w:rPr>
          <w:rFonts w:eastAsia="楷体_GB2312"/>
          <w:sz w:val="28"/>
          <w:szCs w:val="28"/>
        </w:rPr>
        <w:t>《</w:t>
      </w:r>
      <w:r>
        <w:rPr>
          <w:rFonts w:hint="eastAsia" w:eastAsia="楷体_GB2312"/>
          <w:sz w:val="28"/>
          <w:szCs w:val="28"/>
          <w:lang w:eastAsia="zh-CN"/>
        </w:rPr>
        <w:t>旱地谷豆条带种植技术规程</w:t>
      </w:r>
      <w:r>
        <w:rPr>
          <w:rFonts w:eastAsia="楷体_GB2312"/>
          <w:sz w:val="28"/>
          <w:szCs w:val="28"/>
        </w:rPr>
        <w:t>》。</w:t>
      </w:r>
    </w:p>
    <w:p w14:paraId="7FAA1E9E">
      <w:pPr>
        <w:jc w:val="left"/>
        <w:rPr>
          <w:rFonts w:ascii="楷体_GB2312" w:hAnsi="楷体_GB2312" w:eastAsia="楷体_GB2312" w:cs="楷体_GB2312"/>
          <w:b/>
          <w:bCs/>
          <w:sz w:val="30"/>
          <w:szCs w:val="30"/>
        </w:rPr>
      </w:pPr>
      <w:r>
        <w:rPr>
          <w:rFonts w:hint="eastAsia" w:ascii="楷体_GB2312" w:hAnsi="楷体_GB2312" w:eastAsia="楷体_GB2312" w:cs="楷体_GB2312"/>
          <w:b/>
          <w:bCs/>
          <w:sz w:val="30"/>
          <w:szCs w:val="30"/>
        </w:rPr>
        <w:t>（二）起草单位</w:t>
      </w:r>
    </w:p>
    <w:p w14:paraId="385CE4E4">
      <w:pPr>
        <w:pStyle w:val="14"/>
        <w:ind w:firstLine="560"/>
        <w:rPr>
          <w:rFonts w:ascii="Times New Roman" w:eastAsia="楷体_GB2312"/>
          <w:kern w:val="2"/>
          <w:sz w:val="28"/>
          <w:szCs w:val="28"/>
        </w:rPr>
      </w:pPr>
      <w:r>
        <w:rPr>
          <w:rFonts w:hint="eastAsia" w:ascii="Times New Roman" w:eastAsia="楷体_GB2312"/>
          <w:kern w:val="2"/>
          <w:sz w:val="28"/>
          <w:szCs w:val="28"/>
        </w:rPr>
        <w:t>起草单位：山西农业大学、山西省农产品质量安全中心。</w:t>
      </w:r>
    </w:p>
    <w:p w14:paraId="233032AA">
      <w:pPr>
        <w:jc w:val="left"/>
        <w:rPr>
          <w:rFonts w:ascii="楷体_GB2312" w:hAnsi="楷体_GB2312" w:eastAsia="楷体_GB2312" w:cs="楷体_GB2312"/>
          <w:b/>
          <w:bCs/>
          <w:sz w:val="30"/>
          <w:szCs w:val="30"/>
        </w:rPr>
      </w:pPr>
      <w:r>
        <w:rPr>
          <w:rFonts w:hint="eastAsia" w:ascii="楷体_GB2312" w:hAnsi="楷体_GB2312" w:eastAsia="楷体_GB2312" w:cs="楷体_GB2312"/>
          <w:b/>
          <w:bCs/>
          <w:sz w:val="30"/>
          <w:szCs w:val="30"/>
        </w:rPr>
        <w:t>（</w:t>
      </w:r>
      <w:r>
        <w:rPr>
          <w:rFonts w:hint="eastAsia" w:ascii="楷体_GB2312" w:hAnsi="楷体_GB2312" w:eastAsia="楷体_GB2312" w:cs="楷体_GB2312"/>
          <w:b/>
          <w:bCs/>
          <w:sz w:val="30"/>
          <w:szCs w:val="30"/>
          <w:lang w:val="en-US" w:eastAsia="zh-CN"/>
        </w:rPr>
        <w:t>三</w:t>
      </w:r>
      <w:r>
        <w:rPr>
          <w:rFonts w:hint="eastAsia" w:ascii="楷体_GB2312" w:hAnsi="楷体_GB2312" w:eastAsia="楷体_GB2312" w:cs="楷体_GB2312"/>
          <w:b/>
          <w:bCs/>
          <w:sz w:val="30"/>
          <w:szCs w:val="30"/>
        </w:rPr>
        <w:t>）主要起草人</w:t>
      </w:r>
    </w:p>
    <w:p w14:paraId="2C5A635E">
      <w:pPr>
        <w:ind w:firstLine="560" w:firstLineChars="200"/>
        <w:rPr>
          <w:rFonts w:eastAsia="楷体_GB2312"/>
          <w:sz w:val="28"/>
          <w:szCs w:val="28"/>
        </w:rPr>
      </w:pPr>
      <w:r>
        <w:rPr>
          <w:rFonts w:hint="eastAsia" w:eastAsia="楷体_GB2312"/>
          <w:sz w:val="28"/>
          <w:szCs w:val="28"/>
        </w:rPr>
        <w:t>主要起草人: 卢成达、李阳、张丽娜、田峻屹、郭郁、牛学谦、孙迪、郭志利、原向阳、周怀平、杨振兴、侯雅静。</w:t>
      </w:r>
    </w:p>
    <w:p w14:paraId="0D792E01">
      <w:pPr>
        <w:jc w:val="center"/>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主要起草人信息</w:t>
      </w:r>
    </w:p>
    <w:tbl>
      <w:tblPr>
        <w:tblStyle w:val="8"/>
        <w:tblW w:w="87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994"/>
        <w:gridCol w:w="1689"/>
        <w:gridCol w:w="3283"/>
        <w:gridCol w:w="1446"/>
      </w:tblGrid>
      <w:tr w14:paraId="7465A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1015514F">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姓  名</w:t>
            </w:r>
          </w:p>
        </w:tc>
        <w:tc>
          <w:tcPr>
            <w:tcW w:w="994" w:type="dxa"/>
            <w:vAlign w:val="center"/>
          </w:tcPr>
          <w:p w14:paraId="7D2CB024">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性  别</w:t>
            </w:r>
          </w:p>
        </w:tc>
        <w:tc>
          <w:tcPr>
            <w:tcW w:w="1689" w:type="dxa"/>
            <w:shd w:val="clear" w:color="auto" w:fill="auto"/>
            <w:vAlign w:val="center"/>
          </w:tcPr>
          <w:p w14:paraId="44B2FCFD">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职称/职务</w:t>
            </w:r>
          </w:p>
        </w:tc>
        <w:tc>
          <w:tcPr>
            <w:tcW w:w="3283" w:type="dxa"/>
            <w:vAlign w:val="center"/>
          </w:tcPr>
          <w:p w14:paraId="7BE71C9E">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lang w:val="en-US" w:eastAsia="zh-CN"/>
              </w:rPr>
              <w:t>工作</w:t>
            </w:r>
            <w:r>
              <w:rPr>
                <w:rFonts w:hint="eastAsia" w:ascii="华文楷体" w:hAnsi="华文楷体" w:eastAsia="华文楷体" w:cs="华文楷体"/>
                <w:szCs w:val="24"/>
              </w:rPr>
              <w:t>单位</w:t>
            </w:r>
          </w:p>
        </w:tc>
        <w:tc>
          <w:tcPr>
            <w:tcW w:w="1446" w:type="dxa"/>
            <w:shd w:val="clear" w:color="auto" w:fill="auto"/>
            <w:vAlign w:val="center"/>
          </w:tcPr>
          <w:p w14:paraId="059CB638">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任务分工</w:t>
            </w:r>
          </w:p>
        </w:tc>
      </w:tr>
      <w:tr w14:paraId="07F50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259D2405">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卢成达</w:t>
            </w:r>
          </w:p>
        </w:tc>
        <w:tc>
          <w:tcPr>
            <w:tcW w:w="994" w:type="dxa"/>
            <w:vAlign w:val="center"/>
          </w:tcPr>
          <w:p w14:paraId="00E17D39">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男</w:t>
            </w:r>
          </w:p>
        </w:tc>
        <w:tc>
          <w:tcPr>
            <w:tcW w:w="1689" w:type="dxa"/>
            <w:shd w:val="clear" w:color="auto" w:fill="auto"/>
            <w:vAlign w:val="center"/>
          </w:tcPr>
          <w:p w14:paraId="58EE1C8B">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副研究员</w:t>
            </w:r>
          </w:p>
        </w:tc>
        <w:tc>
          <w:tcPr>
            <w:tcW w:w="3283" w:type="dxa"/>
            <w:vAlign w:val="center"/>
          </w:tcPr>
          <w:p w14:paraId="510DEDBE">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山西农业大学</w:t>
            </w:r>
          </w:p>
        </w:tc>
        <w:tc>
          <w:tcPr>
            <w:tcW w:w="1446" w:type="dxa"/>
            <w:shd w:val="clear" w:color="auto" w:fill="auto"/>
            <w:vAlign w:val="center"/>
          </w:tcPr>
          <w:p w14:paraId="51E4E669">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全面负责</w:t>
            </w:r>
          </w:p>
        </w:tc>
      </w:tr>
      <w:tr w14:paraId="0FAB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1D8979DF">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李  阳</w:t>
            </w:r>
          </w:p>
        </w:tc>
        <w:tc>
          <w:tcPr>
            <w:tcW w:w="994" w:type="dxa"/>
            <w:vAlign w:val="center"/>
          </w:tcPr>
          <w:p w14:paraId="4D2CD573">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男</w:t>
            </w:r>
          </w:p>
        </w:tc>
        <w:tc>
          <w:tcPr>
            <w:tcW w:w="1689" w:type="dxa"/>
            <w:shd w:val="clear" w:color="auto" w:fill="auto"/>
            <w:vAlign w:val="center"/>
          </w:tcPr>
          <w:p w14:paraId="130E8034">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助理研究员</w:t>
            </w:r>
          </w:p>
        </w:tc>
        <w:tc>
          <w:tcPr>
            <w:tcW w:w="3283" w:type="dxa"/>
            <w:vAlign w:val="center"/>
          </w:tcPr>
          <w:p w14:paraId="6E23DB0F">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山西农业大学</w:t>
            </w:r>
          </w:p>
        </w:tc>
        <w:tc>
          <w:tcPr>
            <w:tcW w:w="1446" w:type="dxa"/>
            <w:shd w:val="clear" w:color="auto" w:fill="auto"/>
            <w:vAlign w:val="center"/>
          </w:tcPr>
          <w:p w14:paraId="470F4D62">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调研、起草</w:t>
            </w:r>
          </w:p>
        </w:tc>
      </w:tr>
      <w:tr w14:paraId="4ECD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77F119BC">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张丽娜</w:t>
            </w:r>
          </w:p>
        </w:tc>
        <w:tc>
          <w:tcPr>
            <w:tcW w:w="994" w:type="dxa"/>
            <w:vAlign w:val="center"/>
          </w:tcPr>
          <w:p w14:paraId="30C4879B">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女</w:t>
            </w:r>
          </w:p>
        </w:tc>
        <w:tc>
          <w:tcPr>
            <w:tcW w:w="1689" w:type="dxa"/>
            <w:shd w:val="clear" w:color="auto" w:fill="auto"/>
            <w:vAlign w:val="center"/>
          </w:tcPr>
          <w:p w14:paraId="63B99AA4">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助理研究员</w:t>
            </w:r>
          </w:p>
        </w:tc>
        <w:tc>
          <w:tcPr>
            <w:tcW w:w="3283" w:type="dxa"/>
            <w:vAlign w:val="center"/>
          </w:tcPr>
          <w:p w14:paraId="36EC0595">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山西农业大学</w:t>
            </w:r>
          </w:p>
        </w:tc>
        <w:tc>
          <w:tcPr>
            <w:tcW w:w="1446" w:type="dxa"/>
            <w:shd w:val="clear" w:color="auto" w:fill="auto"/>
            <w:vAlign w:val="center"/>
          </w:tcPr>
          <w:p w14:paraId="01382335">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调研、起草</w:t>
            </w:r>
          </w:p>
        </w:tc>
      </w:tr>
      <w:tr w14:paraId="0D7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13800D29">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田峻屹</w:t>
            </w:r>
          </w:p>
        </w:tc>
        <w:tc>
          <w:tcPr>
            <w:tcW w:w="994" w:type="dxa"/>
            <w:vAlign w:val="center"/>
          </w:tcPr>
          <w:p w14:paraId="0E44F3C3">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男</w:t>
            </w:r>
          </w:p>
        </w:tc>
        <w:tc>
          <w:tcPr>
            <w:tcW w:w="1689" w:type="dxa"/>
            <w:shd w:val="clear" w:color="auto" w:fill="auto"/>
            <w:vAlign w:val="center"/>
          </w:tcPr>
          <w:p w14:paraId="3CB58302">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农艺师</w:t>
            </w:r>
          </w:p>
        </w:tc>
        <w:tc>
          <w:tcPr>
            <w:tcW w:w="3283" w:type="dxa"/>
            <w:vAlign w:val="center"/>
          </w:tcPr>
          <w:p w14:paraId="75CAAE0A">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山西省农产品质量安全中心</w:t>
            </w:r>
          </w:p>
        </w:tc>
        <w:tc>
          <w:tcPr>
            <w:tcW w:w="1446" w:type="dxa"/>
            <w:shd w:val="clear" w:color="auto" w:fill="auto"/>
            <w:vAlign w:val="center"/>
          </w:tcPr>
          <w:p w14:paraId="330F8A33">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调研、起草</w:t>
            </w:r>
          </w:p>
        </w:tc>
      </w:tr>
      <w:tr w14:paraId="10F9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0826ACBB">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郭  郁</w:t>
            </w:r>
          </w:p>
        </w:tc>
        <w:tc>
          <w:tcPr>
            <w:tcW w:w="994" w:type="dxa"/>
            <w:vAlign w:val="center"/>
          </w:tcPr>
          <w:p w14:paraId="0C029A21">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女</w:t>
            </w:r>
          </w:p>
        </w:tc>
        <w:tc>
          <w:tcPr>
            <w:tcW w:w="1689" w:type="dxa"/>
            <w:shd w:val="clear" w:color="auto" w:fill="auto"/>
            <w:vAlign w:val="center"/>
          </w:tcPr>
          <w:p w14:paraId="5E022C3F">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农艺师</w:t>
            </w:r>
          </w:p>
        </w:tc>
        <w:tc>
          <w:tcPr>
            <w:tcW w:w="3283" w:type="dxa"/>
            <w:vAlign w:val="center"/>
          </w:tcPr>
          <w:p w14:paraId="002EB172">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山西省农产品质量安全中心</w:t>
            </w:r>
          </w:p>
        </w:tc>
        <w:tc>
          <w:tcPr>
            <w:tcW w:w="1446" w:type="dxa"/>
            <w:shd w:val="clear" w:color="auto" w:fill="auto"/>
            <w:vAlign w:val="center"/>
          </w:tcPr>
          <w:p w14:paraId="5FFF04CF">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调研、起草</w:t>
            </w:r>
          </w:p>
        </w:tc>
      </w:tr>
      <w:tr w14:paraId="640F2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68211AF5">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牛学谦</w:t>
            </w:r>
          </w:p>
        </w:tc>
        <w:tc>
          <w:tcPr>
            <w:tcW w:w="994" w:type="dxa"/>
            <w:vAlign w:val="center"/>
          </w:tcPr>
          <w:p w14:paraId="3BF8FAF8">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男</w:t>
            </w:r>
          </w:p>
        </w:tc>
        <w:tc>
          <w:tcPr>
            <w:tcW w:w="1689" w:type="dxa"/>
            <w:shd w:val="clear" w:color="auto" w:fill="auto"/>
            <w:vAlign w:val="center"/>
          </w:tcPr>
          <w:p w14:paraId="56AC4F90">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助理研究员</w:t>
            </w:r>
          </w:p>
        </w:tc>
        <w:tc>
          <w:tcPr>
            <w:tcW w:w="3283" w:type="dxa"/>
            <w:vAlign w:val="center"/>
          </w:tcPr>
          <w:p w14:paraId="16C77566">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山西农业大学</w:t>
            </w:r>
          </w:p>
        </w:tc>
        <w:tc>
          <w:tcPr>
            <w:tcW w:w="1446" w:type="dxa"/>
            <w:shd w:val="clear" w:color="auto" w:fill="auto"/>
            <w:vAlign w:val="center"/>
          </w:tcPr>
          <w:p w14:paraId="5F74965E">
            <w:pPr>
              <w:rPr>
                <w:rFonts w:hint="eastAsia" w:ascii="华文楷体" w:hAnsi="华文楷体" w:eastAsia="华文楷体" w:cs="华文楷体"/>
              </w:rPr>
            </w:pPr>
            <w:r>
              <w:rPr>
                <w:rFonts w:hint="eastAsia" w:ascii="华文楷体" w:hAnsi="华文楷体" w:eastAsia="华文楷体" w:cs="华文楷体"/>
                <w:sz w:val="24"/>
                <w:szCs w:val="24"/>
              </w:rPr>
              <w:t>调研、起草</w:t>
            </w:r>
          </w:p>
        </w:tc>
      </w:tr>
      <w:tr w14:paraId="2EF9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6ED99F12">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孙  迪</w:t>
            </w:r>
          </w:p>
        </w:tc>
        <w:tc>
          <w:tcPr>
            <w:tcW w:w="994" w:type="dxa"/>
            <w:vAlign w:val="center"/>
          </w:tcPr>
          <w:p w14:paraId="26C57997">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男</w:t>
            </w:r>
          </w:p>
        </w:tc>
        <w:tc>
          <w:tcPr>
            <w:tcW w:w="1689" w:type="dxa"/>
            <w:shd w:val="clear" w:color="auto" w:fill="auto"/>
            <w:vAlign w:val="center"/>
          </w:tcPr>
          <w:p w14:paraId="0BE5D5A6">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助理研究员</w:t>
            </w:r>
          </w:p>
        </w:tc>
        <w:tc>
          <w:tcPr>
            <w:tcW w:w="3283" w:type="dxa"/>
            <w:vAlign w:val="center"/>
          </w:tcPr>
          <w:p w14:paraId="79CA1F31">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山西农业大学</w:t>
            </w:r>
          </w:p>
        </w:tc>
        <w:tc>
          <w:tcPr>
            <w:tcW w:w="1446" w:type="dxa"/>
            <w:shd w:val="clear" w:color="auto" w:fill="auto"/>
            <w:vAlign w:val="center"/>
          </w:tcPr>
          <w:p w14:paraId="11B37FDD">
            <w:pPr>
              <w:rPr>
                <w:rFonts w:hint="eastAsia" w:ascii="华文楷体" w:hAnsi="华文楷体" w:eastAsia="华文楷体" w:cs="华文楷体"/>
              </w:rPr>
            </w:pPr>
            <w:r>
              <w:rPr>
                <w:rFonts w:hint="eastAsia" w:ascii="华文楷体" w:hAnsi="华文楷体" w:eastAsia="华文楷体" w:cs="华文楷体"/>
                <w:sz w:val="24"/>
                <w:szCs w:val="24"/>
              </w:rPr>
              <w:t>调研、起草</w:t>
            </w:r>
          </w:p>
        </w:tc>
      </w:tr>
      <w:tr w14:paraId="5CCAB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1230A2D2">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郭志利</w:t>
            </w:r>
          </w:p>
        </w:tc>
        <w:tc>
          <w:tcPr>
            <w:tcW w:w="994" w:type="dxa"/>
            <w:vAlign w:val="center"/>
          </w:tcPr>
          <w:p w14:paraId="26961D5E">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男</w:t>
            </w:r>
          </w:p>
        </w:tc>
        <w:tc>
          <w:tcPr>
            <w:tcW w:w="1689" w:type="dxa"/>
            <w:shd w:val="clear" w:color="auto" w:fill="auto"/>
            <w:vAlign w:val="center"/>
          </w:tcPr>
          <w:p w14:paraId="0067AA42">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研究员</w:t>
            </w:r>
          </w:p>
        </w:tc>
        <w:tc>
          <w:tcPr>
            <w:tcW w:w="3283" w:type="dxa"/>
            <w:vAlign w:val="center"/>
          </w:tcPr>
          <w:p w14:paraId="774FDE45">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山西农业大学</w:t>
            </w:r>
          </w:p>
        </w:tc>
        <w:tc>
          <w:tcPr>
            <w:tcW w:w="1446" w:type="dxa"/>
            <w:shd w:val="clear" w:color="auto" w:fill="auto"/>
            <w:vAlign w:val="center"/>
          </w:tcPr>
          <w:p w14:paraId="5266B8E9">
            <w:pPr>
              <w:jc w:val="center"/>
              <w:rPr>
                <w:rFonts w:hint="eastAsia" w:ascii="华文楷体" w:hAnsi="华文楷体" w:eastAsia="华文楷体" w:cs="华文楷体"/>
              </w:rPr>
            </w:pPr>
            <w:r>
              <w:rPr>
                <w:rFonts w:hint="eastAsia" w:ascii="华文楷体" w:hAnsi="华文楷体" w:eastAsia="华文楷体" w:cs="华文楷体"/>
                <w:sz w:val="24"/>
                <w:szCs w:val="24"/>
              </w:rPr>
              <w:t>起草</w:t>
            </w:r>
          </w:p>
        </w:tc>
      </w:tr>
      <w:tr w14:paraId="4893C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10672A91">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原向阳</w:t>
            </w:r>
          </w:p>
        </w:tc>
        <w:tc>
          <w:tcPr>
            <w:tcW w:w="994" w:type="dxa"/>
            <w:vAlign w:val="center"/>
          </w:tcPr>
          <w:p w14:paraId="750B2CF0">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男</w:t>
            </w:r>
          </w:p>
        </w:tc>
        <w:tc>
          <w:tcPr>
            <w:tcW w:w="1689" w:type="dxa"/>
            <w:shd w:val="clear" w:color="auto" w:fill="auto"/>
            <w:vAlign w:val="center"/>
          </w:tcPr>
          <w:p w14:paraId="55C02857">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研究员</w:t>
            </w:r>
          </w:p>
        </w:tc>
        <w:tc>
          <w:tcPr>
            <w:tcW w:w="3283" w:type="dxa"/>
            <w:vAlign w:val="center"/>
          </w:tcPr>
          <w:p w14:paraId="7EEAB6A4">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山西农业大学</w:t>
            </w:r>
          </w:p>
        </w:tc>
        <w:tc>
          <w:tcPr>
            <w:tcW w:w="1446" w:type="dxa"/>
            <w:shd w:val="clear" w:color="auto" w:fill="auto"/>
            <w:vAlign w:val="center"/>
          </w:tcPr>
          <w:p w14:paraId="457F662E">
            <w:pPr>
              <w:pStyle w:val="7"/>
              <w:spacing w:line="340" w:lineRule="exact"/>
              <w:jc w:val="center"/>
              <w:rPr>
                <w:rFonts w:hint="eastAsia" w:ascii="华文楷体" w:hAnsi="华文楷体" w:eastAsia="华文楷体" w:cs="华文楷体"/>
                <w:szCs w:val="24"/>
              </w:rPr>
            </w:pPr>
            <w:r>
              <w:rPr>
                <w:rFonts w:hint="eastAsia" w:ascii="华文楷体" w:hAnsi="华文楷体" w:eastAsia="华文楷体" w:cs="华文楷体"/>
                <w:szCs w:val="24"/>
              </w:rPr>
              <w:t>起草</w:t>
            </w:r>
          </w:p>
        </w:tc>
      </w:tr>
      <w:tr w14:paraId="563FC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5D258BFD">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周怀平</w:t>
            </w:r>
          </w:p>
        </w:tc>
        <w:tc>
          <w:tcPr>
            <w:tcW w:w="994" w:type="dxa"/>
            <w:vAlign w:val="center"/>
          </w:tcPr>
          <w:p w14:paraId="6F7766CD">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男</w:t>
            </w:r>
          </w:p>
        </w:tc>
        <w:tc>
          <w:tcPr>
            <w:tcW w:w="1689" w:type="dxa"/>
            <w:shd w:val="clear" w:color="auto" w:fill="auto"/>
            <w:vAlign w:val="center"/>
          </w:tcPr>
          <w:p w14:paraId="416B6AC4">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研究员</w:t>
            </w:r>
          </w:p>
        </w:tc>
        <w:tc>
          <w:tcPr>
            <w:tcW w:w="3283" w:type="dxa"/>
            <w:vAlign w:val="center"/>
          </w:tcPr>
          <w:p w14:paraId="585B2F1B">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山西农业大学</w:t>
            </w:r>
          </w:p>
        </w:tc>
        <w:tc>
          <w:tcPr>
            <w:tcW w:w="1446" w:type="dxa"/>
            <w:shd w:val="clear" w:color="auto" w:fill="auto"/>
            <w:vAlign w:val="center"/>
          </w:tcPr>
          <w:p w14:paraId="2961C34C">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起草</w:t>
            </w:r>
          </w:p>
        </w:tc>
      </w:tr>
      <w:tr w14:paraId="4409A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86" w:type="dxa"/>
            <w:shd w:val="clear" w:color="auto" w:fill="auto"/>
            <w:vAlign w:val="center"/>
          </w:tcPr>
          <w:p w14:paraId="36BC8F0A">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杨振兴</w:t>
            </w:r>
          </w:p>
        </w:tc>
        <w:tc>
          <w:tcPr>
            <w:tcW w:w="994" w:type="dxa"/>
            <w:vAlign w:val="center"/>
          </w:tcPr>
          <w:p w14:paraId="6901E1AB">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男</w:t>
            </w:r>
          </w:p>
        </w:tc>
        <w:tc>
          <w:tcPr>
            <w:tcW w:w="1689" w:type="dxa"/>
            <w:shd w:val="clear" w:color="auto" w:fill="auto"/>
            <w:vAlign w:val="center"/>
          </w:tcPr>
          <w:p w14:paraId="54505B79">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副研究员</w:t>
            </w:r>
          </w:p>
        </w:tc>
        <w:tc>
          <w:tcPr>
            <w:tcW w:w="3283" w:type="dxa"/>
            <w:vAlign w:val="center"/>
          </w:tcPr>
          <w:p w14:paraId="422A0C15">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山西农业大学</w:t>
            </w:r>
          </w:p>
        </w:tc>
        <w:tc>
          <w:tcPr>
            <w:tcW w:w="1446" w:type="dxa"/>
            <w:shd w:val="clear" w:color="auto" w:fill="auto"/>
            <w:vAlign w:val="center"/>
          </w:tcPr>
          <w:p w14:paraId="3AE889E7">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收集资料</w:t>
            </w:r>
          </w:p>
        </w:tc>
      </w:tr>
      <w:tr w14:paraId="14651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386" w:type="dxa"/>
            <w:shd w:val="clear" w:color="auto" w:fill="auto"/>
            <w:vAlign w:val="center"/>
          </w:tcPr>
          <w:p w14:paraId="6D5B9859">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侯雅静</w:t>
            </w:r>
          </w:p>
        </w:tc>
        <w:tc>
          <w:tcPr>
            <w:tcW w:w="994" w:type="dxa"/>
            <w:vAlign w:val="center"/>
          </w:tcPr>
          <w:p w14:paraId="65552644">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女</w:t>
            </w:r>
          </w:p>
        </w:tc>
        <w:tc>
          <w:tcPr>
            <w:tcW w:w="1689" w:type="dxa"/>
            <w:shd w:val="clear" w:color="auto" w:fill="auto"/>
            <w:vAlign w:val="center"/>
          </w:tcPr>
          <w:p w14:paraId="787267FA">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助理研究员</w:t>
            </w:r>
          </w:p>
        </w:tc>
        <w:tc>
          <w:tcPr>
            <w:tcW w:w="3283" w:type="dxa"/>
            <w:vAlign w:val="center"/>
          </w:tcPr>
          <w:p w14:paraId="3A21E89D">
            <w:pPr>
              <w:jc w:val="center"/>
              <w:rPr>
                <w:rFonts w:hint="eastAsia" w:ascii="华文楷体" w:hAnsi="华文楷体" w:eastAsia="华文楷体" w:cs="华文楷体"/>
                <w:kern w:val="0"/>
                <w:sz w:val="24"/>
                <w:szCs w:val="24"/>
              </w:rPr>
            </w:pPr>
            <w:r>
              <w:rPr>
                <w:rFonts w:hint="eastAsia" w:ascii="华文楷体" w:hAnsi="华文楷体" w:eastAsia="华文楷体" w:cs="华文楷体"/>
                <w:kern w:val="0"/>
                <w:sz w:val="24"/>
                <w:szCs w:val="24"/>
              </w:rPr>
              <w:t>山西农业大学</w:t>
            </w:r>
          </w:p>
        </w:tc>
        <w:tc>
          <w:tcPr>
            <w:tcW w:w="1446" w:type="dxa"/>
            <w:shd w:val="clear" w:color="auto" w:fill="auto"/>
            <w:vAlign w:val="center"/>
          </w:tcPr>
          <w:p w14:paraId="64B9033F">
            <w:pPr>
              <w:pStyle w:val="7"/>
              <w:jc w:val="center"/>
              <w:rPr>
                <w:rFonts w:hint="eastAsia" w:ascii="华文楷体" w:hAnsi="华文楷体" w:eastAsia="华文楷体" w:cs="华文楷体"/>
                <w:szCs w:val="24"/>
              </w:rPr>
            </w:pPr>
            <w:r>
              <w:rPr>
                <w:rFonts w:hint="eastAsia" w:ascii="华文楷体" w:hAnsi="华文楷体" w:eastAsia="华文楷体" w:cs="华文楷体"/>
                <w:szCs w:val="24"/>
              </w:rPr>
              <w:t>收集资料</w:t>
            </w:r>
          </w:p>
        </w:tc>
      </w:tr>
    </w:tbl>
    <w:p w14:paraId="225C1806">
      <w:pPr>
        <w:spacing w:before="156" w:beforeLines="50"/>
        <w:rPr>
          <w:rFonts w:ascii="宋体" w:hAnsi="宋体" w:cs="宋体"/>
          <w:b/>
          <w:sz w:val="32"/>
          <w:szCs w:val="32"/>
        </w:rPr>
      </w:pPr>
      <w:r>
        <w:rPr>
          <w:rFonts w:hint="eastAsia" w:ascii="宋体" w:hAnsi="宋体" w:cs="宋体"/>
          <w:b/>
          <w:sz w:val="32"/>
          <w:szCs w:val="32"/>
        </w:rPr>
        <w:t>二、制定标准的必要性和意义</w:t>
      </w:r>
    </w:p>
    <w:p w14:paraId="2B04FDD6">
      <w:pPr>
        <w:ind w:firstLine="560" w:firstLineChars="200"/>
        <w:rPr>
          <w:rFonts w:eastAsia="楷体_GB2312"/>
          <w:sz w:val="28"/>
          <w:szCs w:val="28"/>
        </w:rPr>
      </w:pPr>
      <w:r>
        <w:rPr>
          <w:rFonts w:hint="eastAsia" w:eastAsia="楷体_GB2312"/>
          <w:sz w:val="28"/>
          <w:szCs w:val="28"/>
        </w:rPr>
        <w:t xml:space="preserve">谷子和大豆均是我国北方早作农业区的主要种植作物。谷子是山西省的杂粮名片，对于支撑山西省特色农业发展尤为重要。大豆因其固氮作用，可以提升地力，是重要的养地作物，还能在一定程度上减少化肥施入量，有削减谷子等禾本科杂粮作物的连作障碍的作用。近年来，谷子和大豆由于受到大宗粮饲作物的冲击，种植面积逐年缩小，又因其单位面积产量低而不稳，因此市场缺口较大，价格不断攀升。大豆作为主要的油料作物，因供应缺口大，卡脖子问题一直存在，当下亟需大豆面积逆势扩展，以保证大豆供应量和市场稳定。目前，选育良种成为提高谷豆产量的主要手段，而新品种结合常规的单一露地平播种植模式并不能发挥明显增产效果，谷豆作物产量并没有实质性突破，与其他大宗粮食作物相比没有效益优势，种植户积极性较低。因此，在保证大宗粮食作物的供给和充分利用旱区有限的土地面积等自然因素的前提下，创新谷豆种植技术势在必行。 </w:t>
      </w:r>
    </w:p>
    <w:p w14:paraId="0B485665">
      <w:pPr>
        <w:ind w:firstLine="560" w:firstLineChars="200"/>
        <w:rPr>
          <w:rFonts w:eastAsia="楷体_GB2312"/>
          <w:sz w:val="28"/>
          <w:szCs w:val="28"/>
        </w:rPr>
      </w:pPr>
      <w:r>
        <w:rPr>
          <w:rFonts w:hint="eastAsia" w:eastAsia="楷体_GB2312"/>
          <w:sz w:val="28"/>
          <w:szCs w:val="28"/>
        </w:rPr>
        <w:t>针对现有常规种植技术存在的不足，提出旱地谷豆条带</w:t>
      </w:r>
      <w:r>
        <w:rPr>
          <w:rFonts w:hint="eastAsia" w:eastAsia="楷体_GB2312"/>
          <w:sz w:val="28"/>
          <w:szCs w:val="28"/>
          <w:lang w:val="en-US" w:eastAsia="zh-CN"/>
        </w:rPr>
        <w:t>种植</w:t>
      </w:r>
      <w:r>
        <w:rPr>
          <w:rFonts w:hint="eastAsia" w:eastAsia="楷体_GB2312"/>
          <w:sz w:val="28"/>
          <w:szCs w:val="28"/>
        </w:rPr>
        <w:t>技术。通过试验和示范验证，可显著提高单位面积土地谷子和大豆的产量及效益，很大程度的削减谷子连作障碍，可实现提质增效、一田多用、地力提升、用养结合、减少化肥施入量，实现旱作农业区谷子、大豆的可持续生产。</w:t>
      </w:r>
    </w:p>
    <w:p w14:paraId="73DAB38A">
      <w:pPr>
        <w:ind w:firstLine="560" w:firstLineChars="200"/>
        <w:rPr>
          <w:rFonts w:eastAsia="楷体_GB2312"/>
          <w:sz w:val="28"/>
          <w:szCs w:val="28"/>
        </w:rPr>
      </w:pPr>
      <w:r>
        <w:rPr>
          <w:rFonts w:hint="eastAsia" w:eastAsia="楷体_GB2312"/>
          <w:sz w:val="28"/>
          <w:szCs w:val="28"/>
        </w:rPr>
        <w:t>旱地谷豆条带</w:t>
      </w:r>
      <w:r>
        <w:rPr>
          <w:rFonts w:hint="eastAsia" w:eastAsia="楷体_GB2312"/>
          <w:sz w:val="28"/>
          <w:szCs w:val="28"/>
          <w:lang w:val="en-US" w:eastAsia="zh-CN"/>
        </w:rPr>
        <w:t>种植</w:t>
      </w:r>
      <w:r>
        <w:rPr>
          <w:rFonts w:hint="eastAsia" w:eastAsia="楷体_GB2312"/>
          <w:sz w:val="28"/>
          <w:szCs w:val="28"/>
        </w:rPr>
        <w:t>技术有以下</w:t>
      </w:r>
      <w:r>
        <w:rPr>
          <w:rFonts w:eastAsia="楷体_GB2312"/>
          <w:sz w:val="28"/>
          <w:szCs w:val="28"/>
        </w:rPr>
        <w:t>几个方面</w:t>
      </w:r>
      <w:r>
        <w:rPr>
          <w:rFonts w:hint="eastAsia" w:eastAsia="楷体_GB2312"/>
          <w:sz w:val="28"/>
          <w:szCs w:val="28"/>
        </w:rPr>
        <w:t>优势：</w:t>
      </w:r>
    </w:p>
    <w:p w14:paraId="2515E7F3">
      <w:pPr>
        <w:ind w:firstLine="562" w:firstLineChars="200"/>
        <w:rPr>
          <w:rFonts w:eastAsia="楷体_GB2312"/>
          <w:b/>
          <w:bCs/>
          <w:sz w:val="28"/>
          <w:szCs w:val="28"/>
        </w:rPr>
      </w:pPr>
      <w:r>
        <w:rPr>
          <w:rFonts w:hint="eastAsia" w:eastAsia="楷体_GB2312"/>
          <w:b/>
          <w:bCs/>
          <w:sz w:val="28"/>
          <w:szCs w:val="28"/>
        </w:rPr>
        <w:t>1、创造谷豆优良共生环境，削减连作障碍</w:t>
      </w:r>
    </w:p>
    <w:p w14:paraId="5BA52A9E">
      <w:pPr>
        <w:ind w:firstLine="560" w:firstLineChars="200"/>
        <w:rPr>
          <w:rFonts w:eastAsia="楷体_GB2312"/>
          <w:sz w:val="28"/>
          <w:szCs w:val="28"/>
        </w:rPr>
      </w:pPr>
      <w:r>
        <w:rPr>
          <w:rFonts w:hint="eastAsia" w:eastAsia="楷体_GB2312"/>
          <w:sz w:val="28"/>
          <w:szCs w:val="28"/>
        </w:rPr>
        <w:t>谷豆分带种植模式能改变田间小气候，因具有较好的通风透光效果，可以提高模式内光有效辐射和CO</w:t>
      </w:r>
      <w:r>
        <w:rPr>
          <w:rFonts w:hint="eastAsia" w:eastAsia="楷体_GB2312"/>
          <w:sz w:val="28"/>
          <w:szCs w:val="28"/>
          <w:vertAlign w:val="subscript"/>
        </w:rPr>
        <w:t>2</w:t>
      </w:r>
      <w:r>
        <w:rPr>
          <w:rFonts w:hint="eastAsia" w:eastAsia="楷体_GB2312"/>
          <w:sz w:val="28"/>
          <w:szCs w:val="28"/>
        </w:rPr>
        <w:t>浓度，增加叶面积指数，减小气孔阻力，有利于光合作用和蒸腾作用的进行</w:t>
      </w:r>
      <w:r>
        <w:rPr>
          <w:rFonts w:hint="eastAsia" w:eastAsia="楷体_GB2312"/>
          <w:sz w:val="28"/>
          <w:szCs w:val="28"/>
          <w:lang w:eastAsia="zh-CN"/>
        </w:rPr>
        <w:t>，</w:t>
      </w:r>
      <w:r>
        <w:rPr>
          <w:rFonts w:hint="eastAsia" w:eastAsia="楷体_GB2312"/>
          <w:sz w:val="28"/>
          <w:szCs w:val="28"/>
        </w:rPr>
        <w:t>创造更适合谷子、大豆生长的土壤环境</w:t>
      </w:r>
      <w:r>
        <w:rPr>
          <w:rFonts w:hint="eastAsia" w:eastAsia="楷体_GB2312"/>
          <w:sz w:val="28"/>
          <w:szCs w:val="28"/>
          <w:lang w:eastAsia="zh-CN"/>
        </w:rPr>
        <w:t>，</w:t>
      </w:r>
      <w:r>
        <w:rPr>
          <w:rFonts w:hint="eastAsia" w:eastAsia="楷体_GB2312"/>
          <w:sz w:val="28"/>
          <w:szCs w:val="28"/>
        </w:rPr>
        <w:t>增加了作物的干物质积累量，加速了物质向穗部运转，提高了收获指数，为实现高产高效提供适宜环境，良好的保温保墒效果，还可以提高成苗率、成株(穗)率和成粒数。谷子为禾本科忌连作的作物，大豆为豆科忌连作的作物，禾豆间作的良好共生环境，可以提高根系有益微生物群落种类和数量，减少根系代谢产物的自毒作用，显著削减两种作物的连作障碍。</w:t>
      </w:r>
    </w:p>
    <w:p w14:paraId="605C9D8D">
      <w:pPr>
        <w:ind w:firstLine="562" w:firstLineChars="200"/>
        <w:rPr>
          <w:rFonts w:eastAsia="楷体_GB2312"/>
          <w:b/>
          <w:bCs/>
          <w:sz w:val="28"/>
          <w:szCs w:val="28"/>
        </w:rPr>
      </w:pPr>
      <w:r>
        <w:rPr>
          <w:rFonts w:hint="eastAsia" w:eastAsia="楷体_GB2312"/>
          <w:b/>
          <w:bCs/>
          <w:sz w:val="28"/>
          <w:szCs w:val="28"/>
        </w:rPr>
        <w:t>2、提高光温水资源利用率，减少肥料用量</w:t>
      </w:r>
    </w:p>
    <w:p w14:paraId="176797E3">
      <w:pPr>
        <w:ind w:firstLine="560" w:firstLineChars="200"/>
        <w:rPr>
          <w:rFonts w:eastAsia="楷体_GB2312"/>
          <w:sz w:val="28"/>
          <w:szCs w:val="28"/>
        </w:rPr>
      </w:pPr>
      <w:r>
        <w:rPr>
          <w:rFonts w:hint="eastAsia" w:eastAsia="楷体_GB2312"/>
          <w:sz w:val="28"/>
          <w:szCs w:val="28"/>
        </w:rPr>
        <w:t>谷豆条带小气候，可以增加叶面积和光合势，进一步促进谷子、大豆的生长发育，提高光合效率和净同化率，增加干物质积累，并促进体内物质运转，提高了植株对光能和热能的利用效率。大豆的固氮作用，可以减少</w:t>
      </w:r>
      <w:r>
        <w:rPr>
          <w:rFonts w:hint="eastAsia" w:eastAsia="楷体_GB2312"/>
          <w:sz w:val="28"/>
          <w:szCs w:val="28"/>
          <w:lang w:val="en-US" w:eastAsia="zh-CN"/>
        </w:rPr>
        <w:t>氮肥等</w:t>
      </w:r>
      <w:r>
        <w:rPr>
          <w:rFonts w:hint="eastAsia" w:eastAsia="楷体_GB2312"/>
          <w:sz w:val="28"/>
          <w:szCs w:val="28"/>
        </w:rPr>
        <w:t>化学性肥料的施入量，起到提升地力、用养结合的效果。</w:t>
      </w:r>
    </w:p>
    <w:p w14:paraId="71160992">
      <w:pPr>
        <w:ind w:firstLine="562" w:firstLineChars="200"/>
        <w:rPr>
          <w:rFonts w:eastAsia="楷体_GB2312"/>
          <w:b/>
          <w:bCs/>
          <w:sz w:val="28"/>
          <w:szCs w:val="28"/>
        </w:rPr>
      </w:pPr>
      <w:r>
        <w:rPr>
          <w:rFonts w:hint="eastAsia" w:eastAsia="楷体_GB2312"/>
          <w:b/>
          <w:bCs/>
          <w:sz w:val="28"/>
          <w:szCs w:val="28"/>
        </w:rPr>
        <w:t>3、节本增效、增产增收、可持续生产</w:t>
      </w:r>
    </w:p>
    <w:p w14:paraId="7053EDC9">
      <w:pPr>
        <w:ind w:firstLine="560" w:firstLineChars="200"/>
        <w:rPr>
          <w:rFonts w:eastAsia="楷体_GB2312"/>
          <w:sz w:val="28"/>
          <w:szCs w:val="28"/>
        </w:rPr>
      </w:pPr>
      <w:r>
        <w:rPr>
          <w:rFonts w:hint="eastAsia" w:eastAsia="楷体_GB2312"/>
          <w:sz w:val="28"/>
          <w:szCs w:val="28"/>
        </w:rPr>
        <w:t>旱地谷豆条带种植</w:t>
      </w:r>
      <w:r>
        <w:rPr>
          <w:rFonts w:hint="eastAsia" w:eastAsia="楷体_GB2312"/>
          <w:sz w:val="28"/>
          <w:szCs w:val="28"/>
          <w:lang w:val="en-US" w:eastAsia="zh-CN"/>
        </w:rPr>
        <w:t>模式</w:t>
      </w:r>
      <w:r>
        <w:rPr>
          <w:rFonts w:hint="eastAsia" w:eastAsia="楷体_GB2312"/>
          <w:sz w:val="28"/>
          <w:szCs w:val="28"/>
        </w:rPr>
        <w:t>充分利用自然光热资源，提升了谷豆单产水平和单位面积生产效益，增产、增收、节水效果显著。当前，亟待依据该技术，制定山西旱地谷豆条带</w:t>
      </w:r>
      <w:r>
        <w:rPr>
          <w:rFonts w:hint="eastAsia" w:eastAsia="楷体_GB2312"/>
          <w:sz w:val="28"/>
          <w:szCs w:val="28"/>
          <w:lang w:val="en-US" w:eastAsia="zh-CN"/>
        </w:rPr>
        <w:t>种植</w:t>
      </w:r>
      <w:r>
        <w:rPr>
          <w:rFonts w:hint="eastAsia" w:eastAsia="楷体_GB2312"/>
          <w:sz w:val="28"/>
          <w:szCs w:val="28"/>
        </w:rPr>
        <w:t>技术规程，充分发挥山西省谷子产业优势，填补大豆供应缺口，打破谷豆连作障碍束缚，为谷子、大豆的可持续生产提供技术支持。</w:t>
      </w:r>
    </w:p>
    <w:p w14:paraId="6B8F3C88">
      <w:pPr>
        <w:rPr>
          <w:rFonts w:ascii="宋体" w:hAnsi="宋体" w:cs="宋体"/>
          <w:b/>
          <w:sz w:val="32"/>
          <w:szCs w:val="32"/>
        </w:rPr>
      </w:pPr>
      <w:r>
        <w:rPr>
          <w:rFonts w:hint="eastAsia" w:ascii="宋体" w:hAnsi="宋体" w:cs="宋体"/>
          <w:b/>
          <w:sz w:val="32"/>
          <w:szCs w:val="32"/>
        </w:rPr>
        <w:t>三、主要起草工作过程</w:t>
      </w:r>
    </w:p>
    <w:p w14:paraId="0AE9D469">
      <w:pPr>
        <w:ind w:firstLine="560" w:firstLineChars="200"/>
        <w:rPr>
          <w:rFonts w:ascii="楷体_GB2312" w:hAnsi="楷体_GB2312" w:eastAsia="楷体_GB2312" w:cs="楷体_GB2312"/>
          <w:b w:val="0"/>
          <w:bCs w:val="0"/>
          <w:sz w:val="28"/>
          <w:szCs w:val="28"/>
        </w:rPr>
      </w:pPr>
      <w:r>
        <w:rPr>
          <w:rFonts w:hint="eastAsia" w:ascii="楷体_GB2312" w:hAnsi="楷体_GB2312" w:eastAsia="楷体_GB2312" w:cs="楷体_GB2312"/>
          <w:b w:val="0"/>
          <w:bCs w:val="0"/>
          <w:sz w:val="28"/>
          <w:szCs w:val="28"/>
        </w:rPr>
        <w:t>1、成立标准起草工作组</w:t>
      </w:r>
    </w:p>
    <w:p w14:paraId="33C5809D">
      <w:pPr>
        <w:ind w:firstLine="560" w:firstLineChars="200"/>
        <w:rPr>
          <w:rFonts w:eastAsia="楷体_GB2312"/>
          <w:sz w:val="28"/>
          <w:szCs w:val="28"/>
        </w:rPr>
      </w:pPr>
      <w:r>
        <w:rPr>
          <w:rFonts w:hint="eastAsia" w:eastAsia="楷体_GB2312"/>
          <w:sz w:val="28"/>
          <w:szCs w:val="28"/>
        </w:rPr>
        <w:t>2</w:t>
      </w:r>
      <w:r>
        <w:rPr>
          <w:rFonts w:eastAsia="楷体_GB2312"/>
          <w:sz w:val="28"/>
          <w:szCs w:val="28"/>
        </w:rPr>
        <w:t>023</w:t>
      </w:r>
      <w:r>
        <w:rPr>
          <w:rFonts w:hint="eastAsia" w:eastAsia="楷体_GB2312"/>
          <w:sz w:val="28"/>
          <w:szCs w:val="28"/>
        </w:rPr>
        <w:t>年1</w:t>
      </w:r>
      <w:r>
        <w:rPr>
          <w:rFonts w:asciiTheme="minorEastAsia" w:hAnsiTheme="minorEastAsia" w:eastAsiaTheme="minorEastAsia"/>
          <w:sz w:val="24"/>
          <w:szCs w:val="24"/>
        </w:rPr>
        <w:t>～</w:t>
      </w:r>
      <w:r>
        <w:rPr>
          <w:rFonts w:hint="eastAsia" w:asciiTheme="minorEastAsia" w:hAnsiTheme="minorEastAsia" w:eastAsiaTheme="minorEastAsia"/>
          <w:sz w:val="24"/>
          <w:szCs w:val="24"/>
        </w:rPr>
        <w:t>2</w:t>
      </w:r>
      <w:r>
        <w:rPr>
          <w:rFonts w:hint="eastAsia" w:eastAsia="楷体_GB2312"/>
          <w:sz w:val="28"/>
          <w:szCs w:val="28"/>
        </w:rPr>
        <w:t>月，</w:t>
      </w:r>
      <w:r>
        <w:rPr>
          <w:rFonts w:hint="eastAsia" w:eastAsia="楷体_GB2312"/>
          <w:sz w:val="28"/>
          <w:szCs w:val="28"/>
          <w:lang w:val="en-US" w:eastAsia="zh-CN"/>
        </w:rPr>
        <w:t>由</w:t>
      </w:r>
      <w:r>
        <w:rPr>
          <w:rFonts w:hint="eastAsia" w:eastAsia="楷体_GB2312"/>
          <w:sz w:val="28"/>
          <w:szCs w:val="28"/>
        </w:rPr>
        <w:t>山西农业大学</w:t>
      </w:r>
      <w:r>
        <w:rPr>
          <w:rFonts w:hint="eastAsia" w:eastAsia="楷体_GB2312"/>
          <w:sz w:val="28"/>
          <w:szCs w:val="28"/>
          <w:lang w:eastAsia="zh-CN"/>
        </w:rPr>
        <w:t>、</w:t>
      </w:r>
      <w:r>
        <w:rPr>
          <w:rFonts w:hint="eastAsia" w:eastAsia="楷体_GB2312"/>
          <w:sz w:val="28"/>
          <w:szCs w:val="28"/>
        </w:rPr>
        <w:t>山西省</w:t>
      </w:r>
      <w:r>
        <w:rPr>
          <w:rFonts w:hint="eastAsia" w:eastAsia="楷体_GB2312"/>
          <w:sz w:val="28"/>
          <w:szCs w:val="28"/>
        </w:rPr>
        <w:t>农产品质量安全中心</w:t>
      </w:r>
      <w:r>
        <w:rPr>
          <w:rFonts w:hint="eastAsia" w:eastAsia="楷体_GB2312"/>
          <w:sz w:val="28"/>
          <w:szCs w:val="28"/>
          <w:lang w:val="en-US" w:eastAsia="zh-CN"/>
        </w:rPr>
        <w:t>共同</w:t>
      </w:r>
      <w:r>
        <w:rPr>
          <w:rFonts w:hint="eastAsia" w:eastAsia="楷体_GB2312"/>
          <w:sz w:val="28"/>
          <w:szCs w:val="28"/>
        </w:rPr>
        <w:t>成立标准起草工作组。组织编写工作人员，掌握了标准书写结构、书写格式等相关内容，制定了工作计划，采取线上+线下的方式进行了及时沟通，保证了工作的顺利进行。</w:t>
      </w:r>
    </w:p>
    <w:p w14:paraId="7A0358BB">
      <w:pPr>
        <w:ind w:firstLine="560" w:firstLineChars="200"/>
        <w:rPr>
          <w:rFonts w:eastAsia="楷体_GB2312"/>
          <w:b w:val="0"/>
          <w:bCs w:val="0"/>
          <w:sz w:val="28"/>
          <w:szCs w:val="28"/>
        </w:rPr>
      </w:pPr>
      <w:r>
        <w:rPr>
          <w:rFonts w:eastAsia="楷体_GB2312"/>
          <w:b w:val="0"/>
          <w:bCs w:val="0"/>
          <w:sz w:val="28"/>
          <w:szCs w:val="28"/>
        </w:rPr>
        <w:t>2</w:t>
      </w:r>
      <w:r>
        <w:rPr>
          <w:rFonts w:hint="eastAsia" w:eastAsia="楷体_GB2312"/>
          <w:b w:val="0"/>
          <w:bCs w:val="0"/>
          <w:sz w:val="28"/>
          <w:szCs w:val="28"/>
        </w:rPr>
        <w:t>、收集资料</w:t>
      </w:r>
    </w:p>
    <w:p w14:paraId="2F970FA0">
      <w:pPr>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default" w:ascii="Times New Roman" w:hAnsi="Times New Roman"/>
          <w:color w:val="000000"/>
          <w:kern w:val="0"/>
          <w:lang w:val="en-US" w:eastAsia="zh-CN"/>
        </w:rPr>
      </w:pPr>
      <w:r>
        <w:rPr>
          <w:rFonts w:hint="eastAsia" w:eastAsia="楷体_GB2312"/>
          <w:sz w:val="28"/>
          <w:szCs w:val="28"/>
        </w:rPr>
        <w:t>2023年2～3月，标准工作组查阅了谷子、大豆生产相关的国家标准、行业标准。国家标准有：GB 4404.1、粮食作物种子 第1部分：禾谷类、GB 4404.2  粮食作物种子 第</w:t>
      </w:r>
      <w:r>
        <w:rPr>
          <w:rFonts w:hint="eastAsia" w:eastAsia="楷体_GB2312"/>
          <w:sz w:val="28"/>
          <w:szCs w:val="28"/>
          <w:lang w:val="en-US" w:eastAsia="zh-CN"/>
        </w:rPr>
        <w:t>2</w:t>
      </w:r>
      <w:r>
        <w:rPr>
          <w:rFonts w:hint="eastAsia" w:eastAsia="楷体_GB2312"/>
          <w:sz w:val="28"/>
          <w:szCs w:val="28"/>
        </w:rPr>
        <w:t xml:space="preserve">部分：豆类、GB/T </w:t>
      </w:r>
      <w:r>
        <w:rPr>
          <w:rFonts w:hint="eastAsia" w:eastAsia="楷体_GB2312"/>
          <w:sz w:val="28"/>
          <w:szCs w:val="28"/>
          <w:lang w:val="en-US" w:eastAsia="zh-CN"/>
        </w:rPr>
        <w:t>5668  旋耕机、</w:t>
      </w:r>
      <w:r>
        <w:rPr>
          <w:rFonts w:hint="eastAsia" w:eastAsia="楷体_GB2312"/>
          <w:sz w:val="28"/>
          <w:szCs w:val="28"/>
        </w:rPr>
        <w:t>GB/T 8321</w:t>
      </w:r>
      <w:r>
        <w:rPr>
          <w:rFonts w:hint="eastAsia" w:eastAsia="楷体_GB2312"/>
          <w:sz w:val="28"/>
          <w:szCs w:val="28"/>
          <w:lang w:val="en-US" w:eastAsia="zh-CN"/>
        </w:rPr>
        <w:t xml:space="preserve">  </w:t>
      </w:r>
      <w:r>
        <w:rPr>
          <w:rFonts w:hint="eastAsia" w:eastAsia="楷体_GB2312"/>
          <w:sz w:val="28"/>
          <w:szCs w:val="28"/>
        </w:rPr>
        <w:t>(所有部分) 农药合理使用准则</w:t>
      </w:r>
      <w:r>
        <w:rPr>
          <w:rFonts w:hint="eastAsia" w:eastAsia="楷体_GB2312"/>
          <w:sz w:val="28"/>
          <w:szCs w:val="28"/>
          <w:lang w:eastAsia="zh-CN"/>
        </w:rPr>
        <w:t>；</w:t>
      </w:r>
      <w:r>
        <w:rPr>
          <w:rFonts w:hint="eastAsia" w:eastAsia="楷体_GB2312"/>
          <w:sz w:val="28"/>
          <w:szCs w:val="28"/>
        </w:rPr>
        <w:t>行业标准有：NY/T 496</w:t>
      </w:r>
      <w:r>
        <w:rPr>
          <w:rFonts w:hint="eastAsia" w:eastAsia="楷体_GB2312"/>
          <w:sz w:val="28"/>
          <w:szCs w:val="28"/>
          <w:lang w:val="en-US" w:eastAsia="zh-CN"/>
        </w:rPr>
        <w:t xml:space="preserve">  </w:t>
      </w:r>
      <w:r>
        <w:rPr>
          <w:rFonts w:hint="eastAsia" w:eastAsia="楷体_GB2312"/>
          <w:sz w:val="28"/>
          <w:szCs w:val="28"/>
        </w:rPr>
        <w:t>肥料合理使用准则</w:t>
      </w:r>
      <w:r>
        <w:rPr>
          <w:rFonts w:hint="eastAsia" w:eastAsia="楷体_GB2312"/>
          <w:sz w:val="28"/>
          <w:szCs w:val="28"/>
          <w:lang w:val="en-US" w:eastAsia="zh-CN"/>
        </w:rPr>
        <w:t xml:space="preserve"> 通则、</w:t>
      </w:r>
      <w:r>
        <w:rPr>
          <w:rFonts w:hint="eastAsia" w:eastAsia="楷体_GB2312"/>
          <w:sz w:val="28"/>
          <w:szCs w:val="28"/>
        </w:rPr>
        <w:t>NY/T 49</w:t>
      </w:r>
      <w:r>
        <w:rPr>
          <w:rFonts w:hint="eastAsia" w:eastAsia="楷体_GB2312"/>
          <w:sz w:val="28"/>
          <w:szCs w:val="28"/>
          <w:lang w:val="en-US" w:eastAsia="zh-CN"/>
        </w:rPr>
        <w:t>9  旋耕机 作业质量、</w:t>
      </w:r>
      <w:r>
        <w:rPr>
          <w:rFonts w:hint="eastAsia" w:eastAsia="楷体_GB2312"/>
          <w:sz w:val="28"/>
          <w:szCs w:val="28"/>
        </w:rPr>
        <w:t xml:space="preserve">NY/T </w:t>
      </w:r>
      <w:r>
        <w:rPr>
          <w:rFonts w:hint="eastAsia" w:eastAsia="楷体_GB2312"/>
          <w:sz w:val="28"/>
          <w:szCs w:val="28"/>
          <w:lang w:val="en-US" w:eastAsia="zh-CN"/>
        </w:rPr>
        <w:t>1229  旋耕施肥播种联合作业机 作业质量、</w:t>
      </w:r>
      <w:r>
        <w:rPr>
          <w:rFonts w:hint="eastAsia" w:eastAsia="楷体_GB2312"/>
          <w:sz w:val="28"/>
          <w:szCs w:val="28"/>
        </w:rPr>
        <w:t xml:space="preserve">NY/T </w:t>
      </w:r>
      <w:r>
        <w:rPr>
          <w:rFonts w:hint="eastAsia" w:eastAsia="楷体_GB2312"/>
          <w:sz w:val="28"/>
          <w:szCs w:val="28"/>
          <w:lang w:val="en-US" w:eastAsia="zh-CN"/>
        </w:rPr>
        <w:t>1276  农药安全使用规范 总则</w:t>
      </w:r>
      <w:r>
        <w:rPr>
          <w:rFonts w:hint="eastAsia" w:eastAsia="楷体_GB2312"/>
          <w:sz w:val="28"/>
          <w:szCs w:val="28"/>
          <w:lang w:eastAsia="zh-CN"/>
        </w:rPr>
        <w:t>、</w:t>
      </w:r>
      <w:r>
        <w:rPr>
          <w:rFonts w:hint="default" w:eastAsia="楷体_GB2312"/>
          <w:sz w:val="28"/>
          <w:szCs w:val="28"/>
          <w:lang w:val="en-US" w:eastAsia="zh-CN"/>
        </w:rPr>
        <w:t xml:space="preserve">NY/T 1997 </w:t>
      </w:r>
      <w:r>
        <w:rPr>
          <w:rFonts w:hint="eastAsia" w:eastAsia="楷体_GB2312"/>
          <w:sz w:val="28"/>
          <w:szCs w:val="28"/>
          <w:lang w:val="en-US" w:eastAsia="zh-CN"/>
        </w:rPr>
        <w:t xml:space="preserve"> </w:t>
      </w:r>
      <w:r>
        <w:rPr>
          <w:rFonts w:hint="default" w:eastAsia="楷体_GB2312"/>
          <w:sz w:val="28"/>
          <w:szCs w:val="28"/>
          <w:lang w:val="en-US" w:eastAsia="zh-CN"/>
        </w:rPr>
        <w:t>除草剂安全使用技术规范</w:t>
      </w:r>
      <w:r>
        <w:rPr>
          <w:rFonts w:hint="eastAsia" w:eastAsia="楷体_GB2312"/>
          <w:sz w:val="28"/>
          <w:szCs w:val="28"/>
          <w:lang w:val="en-US" w:eastAsia="zh-CN"/>
        </w:rPr>
        <w:t xml:space="preserve"> </w:t>
      </w:r>
      <w:r>
        <w:rPr>
          <w:rFonts w:hint="default" w:eastAsia="楷体_GB2312"/>
          <w:sz w:val="28"/>
          <w:szCs w:val="28"/>
          <w:lang w:val="en-US" w:eastAsia="zh-CN"/>
        </w:rPr>
        <w:t>通则</w:t>
      </w:r>
      <w:r>
        <w:rPr>
          <w:rFonts w:hint="eastAsia" w:eastAsia="楷体_GB2312"/>
          <w:sz w:val="28"/>
          <w:szCs w:val="28"/>
          <w:lang w:val="en-US" w:eastAsia="zh-CN"/>
        </w:rPr>
        <w:t>。</w:t>
      </w:r>
    </w:p>
    <w:p w14:paraId="452A98C7">
      <w:pPr>
        <w:ind w:firstLine="560" w:firstLineChars="200"/>
        <w:rPr>
          <w:rFonts w:eastAsia="楷体_GB2312"/>
          <w:sz w:val="28"/>
          <w:szCs w:val="28"/>
        </w:rPr>
      </w:pPr>
      <w:r>
        <w:rPr>
          <w:rFonts w:hint="eastAsia" w:eastAsia="楷体_GB2312"/>
          <w:sz w:val="28"/>
          <w:szCs w:val="28"/>
        </w:rPr>
        <w:t>标准工作组</w:t>
      </w:r>
      <w:r>
        <w:rPr>
          <w:rFonts w:hint="eastAsia" w:eastAsia="楷体_GB2312"/>
          <w:sz w:val="28"/>
          <w:szCs w:val="28"/>
          <w:lang w:val="en-US" w:eastAsia="zh-CN"/>
        </w:rPr>
        <w:t>还查阅</w:t>
      </w:r>
      <w:r>
        <w:rPr>
          <w:rFonts w:hint="eastAsia" w:eastAsia="楷体_GB2312"/>
          <w:sz w:val="28"/>
          <w:szCs w:val="28"/>
        </w:rPr>
        <w:t>了旱地谷子、大豆生产等方面的相关书籍和研究</w:t>
      </w:r>
      <w:r>
        <w:rPr>
          <w:rFonts w:hint="eastAsia" w:eastAsia="楷体_GB2312"/>
          <w:sz w:val="28"/>
          <w:szCs w:val="28"/>
          <w:lang w:val="en-US" w:eastAsia="zh-CN"/>
        </w:rPr>
        <w:t>报告</w:t>
      </w:r>
      <w:r>
        <w:rPr>
          <w:rFonts w:hint="eastAsia" w:eastAsia="楷体_GB2312"/>
          <w:sz w:val="28"/>
          <w:szCs w:val="28"/>
        </w:rPr>
        <w:t>，为本标准编写提供</w:t>
      </w:r>
      <w:r>
        <w:rPr>
          <w:rFonts w:hint="eastAsia" w:eastAsia="楷体_GB2312"/>
          <w:sz w:val="28"/>
          <w:szCs w:val="28"/>
          <w:lang w:val="en-US" w:eastAsia="zh-CN"/>
        </w:rPr>
        <w:t>依据</w:t>
      </w:r>
      <w:r>
        <w:rPr>
          <w:rFonts w:hint="eastAsia" w:eastAsia="楷体_GB2312"/>
          <w:sz w:val="28"/>
          <w:szCs w:val="28"/>
        </w:rPr>
        <w:t>。</w:t>
      </w:r>
    </w:p>
    <w:p w14:paraId="79A88EB9">
      <w:pPr>
        <w:ind w:firstLine="560" w:firstLineChars="200"/>
        <w:rPr>
          <w:rFonts w:eastAsia="楷体_GB2312"/>
          <w:b w:val="0"/>
          <w:bCs w:val="0"/>
          <w:sz w:val="28"/>
          <w:szCs w:val="28"/>
        </w:rPr>
      </w:pPr>
      <w:r>
        <w:rPr>
          <w:rFonts w:eastAsia="楷体_GB2312"/>
          <w:b w:val="0"/>
          <w:bCs w:val="0"/>
          <w:sz w:val="28"/>
          <w:szCs w:val="28"/>
        </w:rPr>
        <w:t>3</w:t>
      </w:r>
      <w:r>
        <w:rPr>
          <w:rFonts w:hint="eastAsia" w:eastAsia="楷体_GB2312"/>
          <w:b w:val="0"/>
          <w:bCs w:val="0"/>
          <w:sz w:val="28"/>
          <w:szCs w:val="28"/>
        </w:rPr>
        <w:t>、起草文本</w:t>
      </w:r>
    </w:p>
    <w:p w14:paraId="1D0207C4">
      <w:pPr>
        <w:ind w:firstLine="560" w:firstLineChars="200"/>
        <w:rPr>
          <w:rFonts w:eastAsia="楷体_GB2312"/>
          <w:sz w:val="28"/>
          <w:szCs w:val="28"/>
        </w:rPr>
      </w:pPr>
      <w:r>
        <w:rPr>
          <w:rFonts w:hint="eastAsia" w:eastAsia="楷体_GB2312"/>
          <w:sz w:val="28"/>
          <w:szCs w:val="28"/>
        </w:rPr>
        <w:t>工作组于202</w:t>
      </w:r>
      <w:r>
        <w:rPr>
          <w:rFonts w:eastAsia="楷体_GB2312"/>
          <w:sz w:val="28"/>
          <w:szCs w:val="28"/>
        </w:rPr>
        <w:t>3</w:t>
      </w:r>
      <w:r>
        <w:rPr>
          <w:rFonts w:hint="eastAsia" w:eastAsia="楷体_GB2312"/>
          <w:sz w:val="28"/>
          <w:szCs w:val="28"/>
        </w:rPr>
        <w:t>年</w:t>
      </w:r>
      <w:r>
        <w:rPr>
          <w:rFonts w:eastAsia="楷体_GB2312"/>
          <w:sz w:val="28"/>
          <w:szCs w:val="28"/>
        </w:rPr>
        <w:t>4</w:t>
      </w:r>
      <w:r>
        <w:rPr>
          <w:rFonts w:hint="eastAsia" w:eastAsia="楷体_GB2312"/>
          <w:sz w:val="28"/>
          <w:szCs w:val="28"/>
        </w:rPr>
        <w:t>月起草《</w:t>
      </w:r>
      <w:r>
        <w:rPr>
          <w:rFonts w:hint="eastAsia" w:eastAsia="楷体_GB2312"/>
          <w:sz w:val="28"/>
          <w:szCs w:val="28"/>
          <w:lang w:eastAsia="zh-CN"/>
        </w:rPr>
        <w:t>旱地谷豆条带种植技术规程</w:t>
      </w:r>
      <w:r>
        <w:rPr>
          <w:rFonts w:hint="eastAsia" w:eastAsia="楷体_GB2312"/>
          <w:sz w:val="28"/>
          <w:szCs w:val="28"/>
        </w:rPr>
        <w:t>》的大纲，随后通过发放电子版文本材料、面对面</w:t>
      </w:r>
      <w:r>
        <w:rPr>
          <w:rFonts w:hint="eastAsia" w:eastAsia="楷体_GB2312"/>
          <w:sz w:val="28"/>
          <w:szCs w:val="28"/>
          <w:lang w:val="en-US" w:eastAsia="zh-CN"/>
        </w:rPr>
        <w:t>咨询</w:t>
      </w:r>
      <w:r>
        <w:rPr>
          <w:rFonts w:hint="eastAsia" w:eastAsia="楷体_GB2312"/>
          <w:sz w:val="28"/>
          <w:szCs w:val="28"/>
        </w:rPr>
        <w:t>等方式，</w:t>
      </w:r>
      <w:r>
        <w:rPr>
          <w:rFonts w:hint="eastAsia" w:eastAsia="楷体_GB2312"/>
          <w:sz w:val="28"/>
          <w:szCs w:val="28"/>
          <w:lang w:val="en-US" w:eastAsia="zh-CN"/>
        </w:rPr>
        <w:t>咨询相关专家，对接</w:t>
      </w:r>
      <w:r>
        <w:rPr>
          <w:rFonts w:hint="eastAsia" w:eastAsia="楷体_GB2312"/>
          <w:sz w:val="28"/>
          <w:szCs w:val="28"/>
        </w:rPr>
        <w:t>谷子、大豆种植大户及生产企业</w:t>
      </w:r>
      <w:r>
        <w:rPr>
          <w:rFonts w:hint="eastAsia" w:eastAsia="楷体_GB2312"/>
          <w:sz w:val="28"/>
          <w:szCs w:val="28"/>
          <w:lang w:eastAsia="zh-CN"/>
        </w:rPr>
        <w:t>，</w:t>
      </w:r>
      <w:r>
        <w:rPr>
          <w:rFonts w:hint="eastAsia" w:eastAsia="楷体_GB2312"/>
          <w:sz w:val="28"/>
          <w:szCs w:val="28"/>
          <w:lang w:val="en-US" w:eastAsia="zh-CN"/>
        </w:rPr>
        <w:t>并</w:t>
      </w:r>
      <w:r>
        <w:rPr>
          <w:rFonts w:hint="eastAsia" w:eastAsia="楷体_GB2312"/>
          <w:sz w:val="28"/>
          <w:szCs w:val="28"/>
        </w:rPr>
        <w:t>于202</w:t>
      </w:r>
      <w:r>
        <w:rPr>
          <w:rFonts w:eastAsia="楷体_GB2312"/>
          <w:sz w:val="28"/>
          <w:szCs w:val="28"/>
        </w:rPr>
        <w:t>3</w:t>
      </w:r>
      <w:r>
        <w:rPr>
          <w:rFonts w:hint="eastAsia" w:eastAsia="楷体_GB2312"/>
          <w:sz w:val="28"/>
          <w:szCs w:val="28"/>
        </w:rPr>
        <w:t>年</w:t>
      </w:r>
      <w:r>
        <w:rPr>
          <w:rFonts w:eastAsia="楷体_GB2312"/>
          <w:sz w:val="28"/>
          <w:szCs w:val="28"/>
        </w:rPr>
        <w:t>4</w:t>
      </w:r>
      <w:r>
        <w:rPr>
          <w:rFonts w:hint="eastAsia" w:eastAsia="楷体_GB2312"/>
          <w:sz w:val="28"/>
          <w:szCs w:val="28"/>
        </w:rPr>
        <w:t>月下旬完成了该标准文本的初稿。通过内部研讨会讨论，修改形成《</w:t>
      </w:r>
      <w:r>
        <w:rPr>
          <w:rFonts w:hint="eastAsia" w:eastAsia="楷体_GB2312"/>
          <w:sz w:val="28"/>
          <w:szCs w:val="28"/>
          <w:lang w:eastAsia="zh-CN"/>
        </w:rPr>
        <w:t>旱地谷豆条带种植技术规程</w:t>
      </w:r>
      <w:r>
        <w:rPr>
          <w:rFonts w:hint="eastAsia" w:eastAsia="楷体_GB2312"/>
          <w:sz w:val="28"/>
          <w:szCs w:val="28"/>
        </w:rPr>
        <w:t>》（征求意见稿）。202</w:t>
      </w:r>
      <w:r>
        <w:rPr>
          <w:rFonts w:hint="eastAsia" w:eastAsia="楷体_GB2312"/>
          <w:sz w:val="28"/>
          <w:szCs w:val="28"/>
          <w:lang w:val="en-US" w:eastAsia="zh-CN"/>
        </w:rPr>
        <w:t>4</w:t>
      </w:r>
      <w:r>
        <w:rPr>
          <w:rFonts w:hint="eastAsia" w:eastAsia="楷体_GB2312"/>
          <w:sz w:val="28"/>
          <w:szCs w:val="28"/>
        </w:rPr>
        <w:t>年</w:t>
      </w:r>
      <w:r>
        <w:rPr>
          <w:rFonts w:hint="eastAsia" w:eastAsia="楷体_GB2312"/>
          <w:sz w:val="28"/>
          <w:szCs w:val="28"/>
          <w:lang w:val="en-US" w:eastAsia="zh-CN"/>
        </w:rPr>
        <w:t>3</w:t>
      </w:r>
      <w:r>
        <w:rPr>
          <w:rFonts w:hint="eastAsia" w:eastAsia="楷体_GB2312"/>
          <w:sz w:val="28"/>
          <w:szCs w:val="28"/>
        </w:rPr>
        <w:t>月，</w:t>
      </w:r>
      <w:r>
        <w:rPr>
          <w:rFonts w:hint="eastAsia" w:eastAsia="楷体_GB2312"/>
          <w:sz w:val="28"/>
          <w:szCs w:val="28"/>
          <w:lang w:val="en-US" w:eastAsia="zh-CN"/>
        </w:rPr>
        <w:t>向5个单位，</w:t>
      </w:r>
      <w:r>
        <w:rPr>
          <w:rFonts w:hint="eastAsia" w:eastAsia="楷体_GB2312"/>
          <w:sz w:val="28"/>
          <w:szCs w:val="28"/>
        </w:rPr>
        <w:t>发送征求意见稿5份</w:t>
      </w:r>
      <w:r>
        <w:rPr>
          <w:rFonts w:hint="eastAsia" w:eastAsia="楷体_GB2312"/>
          <w:sz w:val="28"/>
          <w:szCs w:val="28"/>
          <w:lang w:eastAsia="zh-CN"/>
        </w:rPr>
        <w:t>。</w:t>
      </w:r>
      <w:r>
        <w:rPr>
          <w:rFonts w:hint="eastAsia" w:eastAsia="楷体_GB2312"/>
          <w:sz w:val="28"/>
          <w:szCs w:val="28"/>
        </w:rPr>
        <w:t>202</w:t>
      </w:r>
      <w:r>
        <w:rPr>
          <w:rFonts w:hint="eastAsia" w:eastAsia="楷体_GB2312"/>
          <w:sz w:val="28"/>
          <w:szCs w:val="28"/>
          <w:lang w:val="en-US" w:eastAsia="zh-CN"/>
        </w:rPr>
        <w:t>4</w:t>
      </w:r>
      <w:r>
        <w:rPr>
          <w:rFonts w:hint="eastAsia" w:eastAsia="楷体_GB2312"/>
          <w:sz w:val="28"/>
          <w:szCs w:val="28"/>
        </w:rPr>
        <w:t>年</w:t>
      </w:r>
      <w:r>
        <w:rPr>
          <w:rFonts w:hint="eastAsia" w:eastAsia="楷体_GB2312"/>
          <w:sz w:val="28"/>
          <w:szCs w:val="28"/>
          <w:lang w:val="en-US" w:eastAsia="zh-CN"/>
        </w:rPr>
        <w:t>5</w:t>
      </w:r>
      <w:r>
        <w:rPr>
          <w:rFonts w:hint="eastAsia" w:eastAsia="楷体_GB2312"/>
          <w:sz w:val="28"/>
          <w:szCs w:val="28"/>
        </w:rPr>
        <w:t>月，收到5个单位</w:t>
      </w:r>
      <w:r>
        <w:rPr>
          <w:rFonts w:hint="eastAsia" w:eastAsia="楷体_GB2312"/>
          <w:sz w:val="28"/>
          <w:szCs w:val="28"/>
          <w:lang w:val="en-US" w:eastAsia="zh-CN"/>
        </w:rPr>
        <w:t>的修改意见</w:t>
      </w:r>
      <w:r>
        <w:rPr>
          <w:rFonts w:hint="eastAsia" w:eastAsia="楷体_GB2312"/>
          <w:sz w:val="28"/>
          <w:szCs w:val="28"/>
        </w:rPr>
        <w:t>，起草组对收集到的意见进行分类、归纳、整理，经研究，采纳了其中7条建议。</w:t>
      </w:r>
    </w:p>
    <w:p w14:paraId="0BFE7827">
      <w:pPr>
        <w:spacing w:line="600" w:lineRule="exact"/>
        <w:rPr>
          <w:rFonts w:ascii="宋体" w:hAnsi="宋体"/>
          <w:b/>
          <w:sz w:val="32"/>
          <w:szCs w:val="32"/>
        </w:rPr>
      </w:pPr>
      <w:r>
        <w:rPr>
          <w:rFonts w:hint="eastAsia" w:ascii="宋体" w:hAnsi="宋体"/>
          <w:b/>
          <w:sz w:val="32"/>
          <w:szCs w:val="32"/>
        </w:rPr>
        <w:t>四、制订</w:t>
      </w:r>
      <w:r>
        <w:rPr>
          <w:rFonts w:hint="eastAsia" w:ascii="宋体" w:hAnsi="宋体"/>
          <w:b/>
          <w:sz w:val="32"/>
          <w:szCs w:val="32"/>
          <w:lang w:val="en-US" w:eastAsia="zh-CN"/>
        </w:rPr>
        <w:t>标准的</w:t>
      </w:r>
      <w:r>
        <w:rPr>
          <w:rFonts w:hint="eastAsia" w:ascii="宋体" w:hAnsi="宋体"/>
          <w:b/>
          <w:sz w:val="32"/>
          <w:szCs w:val="32"/>
        </w:rPr>
        <w:t>原则和依据，与现行法律、法规、标准的关系</w:t>
      </w:r>
    </w:p>
    <w:p w14:paraId="2DB8D7B2">
      <w:pPr>
        <w:jc w:val="left"/>
        <w:rPr>
          <w:rFonts w:hint="default" w:ascii="楷体_GB2312" w:hAnsi="楷体_GB2312" w:eastAsia="楷体_GB2312" w:cs="楷体_GB2312"/>
          <w:b/>
          <w:bCs/>
          <w:sz w:val="30"/>
          <w:szCs w:val="30"/>
          <w:lang w:val="en-US" w:eastAsia="zh-CN"/>
        </w:rPr>
      </w:pPr>
      <w:r>
        <w:rPr>
          <w:rFonts w:hint="eastAsia" w:ascii="楷体_GB2312" w:hAnsi="楷体_GB2312" w:eastAsia="楷体_GB2312" w:cs="楷体_GB2312"/>
          <w:b/>
          <w:bCs/>
          <w:sz w:val="30"/>
          <w:szCs w:val="30"/>
        </w:rPr>
        <w:t>（一）制订</w:t>
      </w:r>
      <w:r>
        <w:rPr>
          <w:rFonts w:hint="eastAsia" w:ascii="楷体_GB2312" w:hAnsi="楷体_GB2312" w:eastAsia="楷体_GB2312" w:cs="楷体_GB2312"/>
          <w:b/>
          <w:bCs/>
          <w:sz w:val="30"/>
          <w:szCs w:val="30"/>
          <w:lang w:val="en-US" w:eastAsia="zh-CN"/>
        </w:rPr>
        <w:t>标准的</w:t>
      </w:r>
      <w:r>
        <w:rPr>
          <w:rFonts w:hint="eastAsia" w:ascii="楷体_GB2312" w:hAnsi="楷体_GB2312" w:eastAsia="楷体_GB2312" w:cs="楷体_GB2312"/>
          <w:b/>
          <w:bCs/>
          <w:sz w:val="30"/>
          <w:szCs w:val="30"/>
        </w:rPr>
        <w:t>原则</w:t>
      </w:r>
      <w:r>
        <w:rPr>
          <w:rFonts w:hint="eastAsia" w:ascii="楷体_GB2312" w:hAnsi="楷体_GB2312" w:eastAsia="楷体_GB2312" w:cs="楷体_GB2312"/>
          <w:b/>
          <w:bCs/>
          <w:sz w:val="30"/>
          <w:szCs w:val="30"/>
          <w:lang w:val="en-US" w:eastAsia="zh-CN"/>
        </w:rPr>
        <w:t>和依据</w:t>
      </w:r>
    </w:p>
    <w:p w14:paraId="65ECF94C">
      <w:pPr>
        <w:pStyle w:val="14"/>
        <w:ind w:firstLine="560"/>
        <w:rPr>
          <w:rFonts w:ascii="楷体_GB2312" w:hAnsi="楷体_GB2312" w:eastAsia="楷体_GB2312" w:cs="楷体_GB2312"/>
          <w:b/>
          <w:bCs/>
          <w:kern w:val="2"/>
          <w:sz w:val="28"/>
          <w:szCs w:val="28"/>
        </w:rPr>
      </w:pPr>
      <w:r>
        <w:rPr>
          <w:rFonts w:hint="eastAsia" w:ascii="楷体_GB2312" w:hAnsi="楷体_GB2312" w:eastAsia="楷体_GB2312" w:cs="楷体_GB2312"/>
          <w:kern w:val="2"/>
          <w:sz w:val="28"/>
          <w:szCs w:val="28"/>
        </w:rPr>
        <w:t>按照GB/T 1.1—2020《标准化工作导则  第1部分：标准化文件的结构和起草规则》</w:t>
      </w:r>
      <w:r>
        <w:rPr>
          <w:rFonts w:hint="eastAsia" w:ascii="楷体_GB2312" w:hAnsi="楷体_GB2312" w:eastAsia="楷体_GB2312" w:cs="楷体_GB2312"/>
          <w:kern w:val="2"/>
          <w:sz w:val="28"/>
          <w:szCs w:val="28"/>
          <w:lang w:val="en-US" w:eastAsia="zh-CN"/>
        </w:rPr>
        <w:t>及DB14/T 2577-2022《地方标准技术审查工作规范》的规定，</w:t>
      </w:r>
      <w:r>
        <w:rPr>
          <w:rFonts w:hint="eastAsia" w:ascii="楷体_GB2312" w:hAnsi="楷体_GB2312" w:eastAsia="楷体_GB2312" w:cs="楷体_GB2312"/>
          <w:kern w:val="2"/>
          <w:sz w:val="28"/>
          <w:szCs w:val="28"/>
        </w:rPr>
        <w:t>遵循科学性、适用性、规范性原则编制起草本标准。</w:t>
      </w:r>
    </w:p>
    <w:p w14:paraId="62E76787">
      <w:pPr>
        <w:pStyle w:val="14"/>
        <w:numPr>
          <w:ilvl w:val="0"/>
          <w:numId w:val="3"/>
        </w:numPr>
        <w:ind w:firstLine="562"/>
        <w:rPr>
          <w:rFonts w:ascii="楷体_GB2312" w:hAnsi="楷体_GB2312" w:eastAsia="楷体_GB2312" w:cs="楷体_GB2312"/>
          <w:b w:val="0"/>
          <w:bCs w:val="0"/>
          <w:kern w:val="2"/>
          <w:sz w:val="28"/>
          <w:szCs w:val="28"/>
        </w:rPr>
      </w:pPr>
      <w:r>
        <w:rPr>
          <w:rFonts w:hint="eastAsia" w:ascii="楷体_GB2312" w:hAnsi="楷体_GB2312" w:eastAsia="楷体_GB2312" w:cs="楷体_GB2312"/>
          <w:b w:val="0"/>
          <w:bCs w:val="0"/>
          <w:kern w:val="2"/>
          <w:sz w:val="28"/>
          <w:szCs w:val="28"/>
        </w:rPr>
        <w:t>科学性原则</w:t>
      </w:r>
    </w:p>
    <w:p w14:paraId="66CF5C22">
      <w:pPr>
        <w:pStyle w:val="14"/>
        <w:ind w:firstLine="560"/>
        <w:rPr>
          <w:rFonts w:ascii="楷体_GB2312" w:hAnsi="楷体_GB2312" w:eastAsia="楷体_GB2312" w:cs="楷体_GB2312"/>
          <w:b/>
          <w:bCs/>
          <w:kern w:val="2"/>
          <w:sz w:val="28"/>
          <w:szCs w:val="28"/>
        </w:rPr>
      </w:pPr>
      <w:r>
        <w:rPr>
          <w:rFonts w:ascii="楷体_GB2312" w:hAnsi="楷体_GB2312" w:eastAsia="楷体_GB2312" w:cs="楷体_GB2312"/>
          <w:kern w:val="2"/>
          <w:sz w:val="28"/>
          <w:szCs w:val="28"/>
        </w:rPr>
        <w:t>本标准的编制遵循科学性原则，对</w:t>
      </w:r>
      <w:r>
        <w:rPr>
          <w:rFonts w:hint="eastAsia" w:ascii="楷体_GB2312" w:hAnsi="楷体_GB2312" w:eastAsia="楷体_GB2312" w:cs="楷体_GB2312"/>
          <w:kern w:val="2"/>
          <w:sz w:val="28"/>
          <w:szCs w:val="28"/>
        </w:rPr>
        <w:t>旱地谷子、大豆</w:t>
      </w:r>
      <w:r>
        <w:rPr>
          <w:rFonts w:ascii="楷体_GB2312" w:hAnsi="楷体_GB2312" w:eastAsia="楷体_GB2312" w:cs="楷体_GB2312"/>
          <w:kern w:val="2"/>
          <w:sz w:val="28"/>
          <w:szCs w:val="28"/>
        </w:rPr>
        <w:t>生产企业</w:t>
      </w:r>
      <w:r>
        <w:rPr>
          <w:rFonts w:hint="eastAsia" w:ascii="楷体_GB2312" w:hAnsi="楷体_GB2312" w:eastAsia="楷体_GB2312" w:cs="楷体_GB2312"/>
          <w:kern w:val="2"/>
          <w:sz w:val="28"/>
          <w:szCs w:val="28"/>
        </w:rPr>
        <w:t>及种植大户</w:t>
      </w:r>
      <w:r>
        <w:rPr>
          <w:rFonts w:ascii="楷体_GB2312" w:hAnsi="楷体_GB2312" w:eastAsia="楷体_GB2312" w:cs="楷体_GB2312"/>
          <w:kern w:val="2"/>
          <w:sz w:val="28"/>
          <w:szCs w:val="28"/>
        </w:rPr>
        <w:t>、相关重点产区做了充分的调研，在充分征询企业、</w:t>
      </w:r>
      <w:r>
        <w:rPr>
          <w:rFonts w:hint="eastAsia" w:ascii="楷体_GB2312" w:hAnsi="楷体_GB2312" w:eastAsia="楷体_GB2312" w:cs="楷体_GB2312"/>
          <w:kern w:val="2"/>
          <w:sz w:val="28"/>
          <w:szCs w:val="28"/>
        </w:rPr>
        <w:t>农户</w:t>
      </w:r>
      <w:r>
        <w:rPr>
          <w:rFonts w:ascii="楷体_GB2312" w:hAnsi="楷体_GB2312" w:eastAsia="楷体_GB2312" w:cs="楷体_GB2312"/>
          <w:kern w:val="2"/>
          <w:sz w:val="28"/>
          <w:szCs w:val="28"/>
        </w:rPr>
        <w:t>、</w:t>
      </w:r>
      <w:r>
        <w:rPr>
          <w:rFonts w:hint="eastAsia" w:ascii="楷体_GB2312" w:hAnsi="楷体_GB2312" w:eastAsia="楷体_GB2312" w:cs="楷体_GB2312"/>
          <w:kern w:val="2"/>
          <w:sz w:val="28"/>
          <w:szCs w:val="28"/>
        </w:rPr>
        <w:t>科研单位</w:t>
      </w:r>
      <w:r>
        <w:rPr>
          <w:rFonts w:ascii="楷体_GB2312" w:hAnsi="楷体_GB2312" w:eastAsia="楷体_GB2312" w:cs="楷体_GB2312"/>
          <w:kern w:val="2"/>
          <w:sz w:val="28"/>
          <w:szCs w:val="28"/>
        </w:rPr>
        <w:t>等多方面意见的基础上，确立各项技术</w:t>
      </w:r>
      <w:r>
        <w:rPr>
          <w:rFonts w:hint="eastAsia" w:ascii="楷体_GB2312" w:hAnsi="楷体_GB2312" w:eastAsia="楷体_GB2312" w:cs="楷体_GB2312"/>
          <w:kern w:val="2"/>
          <w:sz w:val="28"/>
          <w:szCs w:val="28"/>
        </w:rPr>
        <w:t>的操作方法和流程</w:t>
      </w:r>
      <w:r>
        <w:rPr>
          <w:rFonts w:ascii="楷体_GB2312" w:hAnsi="楷体_GB2312" w:eastAsia="楷体_GB2312" w:cs="楷体_GB2312"/>
          <w:kern w:val="2"/>
          <w:sz w:val="28"/>
          <w:szCs w:val="28"/>
        </w:rPr>
        <w:t>，确保了标准制订的科学性。</w:t>
      </w:r>
    </w:p>
    <w:p w14:paraId="040B2662">
      <w:pPr>
        <w:pStyle w:val="14"/>
        <w:ind w:firstLine="562"/>
        <w:rPr>
          <w:rFonts w:ascii="楷体_GB2312" w:hAnsi="楷体_GB2312" w:eastAsia="楷体_GB2312" w:cs="楷体_GB2312"/>
          <w:b w:val="0"/>
          <w:bCs w:val="0"/>
          <w:kern w:val="2"/>
          <w:sz w:val="28"/>
          <w:szCs w:val="28"/>
        </w:rPr>
      </w:pPr>
      <w:r>
        <w:rPr>
          <w:rFonts w:hint="eastAsia" w:ascii="楷体_GB2312" w:hAnsi="楷体_GB2312" w:eastAsia="楷体_GB2312" w:cs="楷体_GB2312"/>
          <w:b w:val="0"/>
          <w:bCs w:val="0"/>
          <w:kern w:val="2"/>
          <w:sz w:val="28"/>
          <w:szCs w:val="28"/>
        </w:rPr>
        <w:t>2、适用性原则</w:t>
      </w:r>
    </w:p>
    <w:p w14:paraId="75E3325B">
      <w:pPr>
        <w:pStyle w:val="14"/>
        <w:ind w:firstLine="560"/>
        <w:rPr>
          <w:rFonts w:hint="eastAsia" w:ascii="楷体_GB2312" w:hAnsi="楷体_GB2312" w:eastAsia="楷体_GB2312" w:cs="楷体_GB2312"/>
          <w:kern w:val="2"/>
          <w:sz w:val="28"/>
          <w:szCs w:val="28"/>
        </w:rPr>
      </w:pPr>
      <w:r>
        <w:rPr>
          <w:rFonts w:hint="eastAsia" w:ascii="楷体_GB2312" w:hAnsi="楷体_GB2312" w:eastAsia="楷体_GB2312" w:cs="楷体_GB2312"/>
          <w:kern w:val="2"/>
          <w:sz w:val="28"/>
          <w:szCs w:val="28"/>
        </w:rPr>
        <w:t>本规程在旱地谷子、大豆生产相关的国家标准、行业标准、地方标准的基础上</w:t>
      </w:r>
      <w:r>
        <w:rPr>
          <w:rFonts w:hint="eastAsia" w:ascii="楷体_GB2312" w:hAnsi="楷体_GB2312" w:eastAsia="楷体_GB2312" w:cs="楷体_GB2312"/>
          <w:kern w:val="2"/>
          <w:sz w:val="28"/>
          <w:szCs w:val="28"/>
          <w:lang w:eastAsia="zh-CN"/>
        </w:rPr>
        <w:t>，</w:t>
      </w:r>
      <w:r>
        <w:rPr>
          <w:rFonts w:hint="eastAsia" w:ascii="楷体_GB2312" w:hAnsi="楷体_GB2312" w:eastAsia="楷体_GB2312" w:cs="楷体_GB2312"/>
          <w:kern w:val="2"/>
          <w:sz w:val="28"/>
          <w:szCs w:val="28"/>
        </w:rPr>
        <w:t>吸收了大量旱地谷子、大豆生产方面专家的实践经验，将产地环境、</w:t>
      </w:r>
      <w:r>
        <w:rPr>
          <w:rFonts w:hint="eastAsia" w:ascii="楷体_GB2312" w:hAnsi="楷体_GB2312" w:eastAsia="楷体_GB2312" w:cs="楷体_GB2312"/>
          <w:kern w:val="2"/>
          <w:sz w:val="28"/>
          <w:szCs w:val="28"/>
          <w:lang w:val="en-US" w:eastAsia="zh-CN"/>
        </w:rPr>
        <w:t>品种选择</w:t>
      </w:r>
      <w:r>
        <w:rPr>
          <w:rFonts w:hint="eastAsia" w:ascii="楷体_GB2312" w:hAnsi="楷体_GB2312" w:eastAsia="楷体_GB2312" w:cs="楷体_GB2312"/>
          <w:kern w:val="2"/>
          <w:sz w:val="28"/>
          <w:szCs w:val="28"/>
        </w:rPr>
        <w:t>、</w:t>
      </w:r>
      <w:r>
        <w:rPr>
          <w:rFonts w:hint="eastAsia" w:ascii="楷体_GB2312" w:hAnsi="楷体_GB2312" w:eastAsia="楷体_GB2312" w:cs="楷体_GB2312"/>
          <w:kern w:val="2"/>
          <w:sz w:val="28"/>
          <w:szCs w:val="28"/>
          <w:lang w:val="en-US" w:eastAsia="zh-CN"/>
        </w:rPr>
        <w:t>播前准备、</w:t>
      </w:r>
      <w:r>
        <w:rPr>
          <w:rFonts w:hint="eastAsia" w:ascii="楷体_GB2312" w:hAnsi="楷体_GB2312" w:eastAsia="楷体_GB2312" w:cs="楷体_GB2312"/>
          <w:kern w:val="2"/>
          <w:sz w:val="28"/>
          <w:szCs w:val="28"/>
        </w:rPr>
        <w:t>播种、田间管理、</w:t>
      </w:r>
      <w:r>
        <w:rPr>
          <w:rFonts w:hint="eastAsia" w:ascii="楷体_GB2312" w:hAnsi="楷体_GB2312" w:eastAsia="楷体_GB2312" w:cs="楷体_GB2312"/>
          <w:kern w:val="2"/>
          <w:sz w:val="28"/>
          <w:szCs w:val="28"/>
          <w:lang w:val="en-US" w:eastAsia="zh-CN"/>
        </w:rPr>
        <w:t>病虫害防治、</w:t>
      </w:r>
      <w:r>
        <w:rPr>
          <w:rFonts w:hint="eastAsia" w:ascii="楷体_GB2312" w:hAnsi="楷体_GB2312" w:eastAsia="楷体_GB2312" w:cs="楷体_GB2312"/>
          <w:kern w:val="2"/>
          <w:sz w:val="28"/>
          <w:szCs w:val="28"/>
        </w:rPr>
        <w:t>收获等方面形成了一套完整、实用的操作步骤。</w:t>
      </w:r>
    </w:p>
    <w:p w14:paraId="2AE75EEA">
      <w:pPr>
        <w:pStyle w:val="14"/>
        <w:ind w:firstLine="562"/>
        <w:rPr>
          <w:rFonts w:ascii="楷体_GB2312" w:hAnsi="楷体_GB2312" w:eastAsia="楷体_GB2312" w:cs="楷体_GB2312"/>
          <w:b w:val="0"/>
          <w:bCs w:val="0"/>
          <w:kern w:val="2"/>
          <w:sz w:val="28"/>
          <w:szCs w:val="28"/>
        </w:rPr>
      </w:pPr>
      <w:r>
        <w:rPr>
          <w:rFonts w:hint="eastAsia" w:ascii="楷体_GB2312" w:hAnsi="楷体_GB2312" w:eastAsia="楷体_GB2312" w:cs="楷体_GB2312"/>
          <w:b w:val="0"/>
          <w:bCs w:val="0"/>
          <w:kern w:val="2"/>
          <w:sz w:val="28"/>
          <w:szCs w:val="28"/>
        </w:rPr>
        <w:t>3、规范性原则</w:t>
      </w:r>
    </w:p>
    <w:p w14:paraId="1D44F4CA">
      <w:pPr>
        <w:pStyle w:val="14"/>
        <w:ind w:firstLine="560"/>
        <w:rPr>
          <w:rFonts w:ascii="楷体_GB2312" w:hAnsi="楷体_GB2312" w:eastAsia="楷体_GB2312" w:cs="楷体_GB2312"/>
          <w:kern w:val="2"/>
          <w:sz w:val="28"/>
          <w:szCs w:val="28"/>
        </w:rPr>
      </w:pPr>
      <w:r>
        <w:rPr>
          <w:rFonts w:hint="eastAsia" w:ascii="楷体_GB2312" w:hAnsi="楷体_GB2312" w:eastAsia="楷体_GB2312" w:cs="楷体_GB2312"/>
          <w:kern w:val="2"/>
          <w:sz w:val="28"/>
          <w:szCs w:val="28"/>
        </w:rPr>
        <w:t>按照GB/T 1.1—2020《标准化工作导则  第1部分：标准化文件的结构和起草规则》</w:t>
      </w:r>
      <w:r>
        <w:rPr>
          <w:rFonts w:hint="eastAsia" w:ascii="楷体_GB2312" w:hAnsi="楷体_GB2312" w:eastAsia="楷体_GB2312" w:cs="楷体_GB2312"/>
          <w:kern w:val="2"/>
          <w:sz w:val="28"/>
          <w:szCs w:val="28"/>
          <w:lang w:val="en-US" w:eastAsia="zh-CN"/>
        </w:rPr>
        <w:t>及DB14/T 2577-2022《地方标准技术审查工作规范》的规定，</w:t>
      </w:r>
      <w:r>
        <w:rPr>
          <w:rFonts w:hint="eastAsia" w:ascii="楷体_GB2312" w:hAnsi="楷体_GB2312" w:eastAsia="楷体_GB2312" w:cs="楷体_GB2312"/>
          <w:kern w:val="2"/>
          <w:sz w:val="28"/>
          <w:szCs w:val="28"/>
        </w:rPr>
        <w:t>规程中各项操作技术简单、具体，适用于旱地谷豆条带</w:t>
      </w:r>
      <w:r>
        <w:rPr>
          <w:rFonts w:hint="eastAsia" w:ascii="楷体_GB2312" w:hAnsi="楷体_GB2312" w:eastAsia="楷体_GB2312" w:cs="楷体_GB2312"/>
          <w:kern w:val="2"/>
          <w:sz w:val="28"/>
          <w:szCs w:val="28"/>
          <w:lang w:val="en-US" w:eastAsia="zh-CN"/>
        </w:rPr>
        <w:t>种植</w:t>
      </w:r>
      <w:r>
        <w:rPr>
          <w:rFonts w:hint="eastAsia" w:ascii="楷体_GB2312" w:hAnsi="楷体_GB2312" w:eastAsia="楷体_GB2312" w:cs="楷体_GB2312"/>
          <w:kern w:val="2"/>
          <w:sz w:val="28"/>
          <w:szCs w:val="28"/>
        </w:rPr>
        <w:t>的企业、合作社、农场和个体户。</w:t>
      </w:r>
    </w:p>
    <w:p w14:paraId="1E3B2210">
      <w:pPr>
        <w:jc w:val="left"/>
        <w:rPr>
          <w:rFonts w:ascii="楷体_GB2312" w:hAnsi="楷体_GB2312" w:eastAsia="楷体_GB2312" w:cs="楷体_GB2312"/>
          <w:b/>
          <w:bCs/>
          <w:sz w:val="30"/>
          <w:szCs w:val="30"/>
        </w:rPr>
      </w:pPr>
      <w:r>
        <w:rPr>
          <w:rFonts w:hint="eastAsia" w:ascii="楷体_GB2312" w:hAnsi="楷体_GB2312" w:eastAsia="楷体_GB2312" w:cs="楷体_GB2312"/>
          <w:b/>
          <w:bCs/>
          <w:sz w:val="30"/>
          <w:szCs w:val="30"/>
        </w:rPr>
        <w:t>（二）与有关现行法律、法规、标准的关系</w:t>
      </w:r>
    </w:p>
    <w:p w14:paraId="1697535E">
      <w:pPr>
        <w:ind w:firstLine="560" w:firstLineChars="200"/>
        <w:rPr>
          <w:rFonts w:hint="default" w:ascii="Times New Roman" w:hAnsi="Times New Roman"/>
          <w:color w:val="000000"/>
          <w:kern w:val="0"/>
          <w:lang w:val="en-US" w:eastAsia="zh-CN"/>
        </w:rPr>
      </w:pPr>
      <w:r>
        <w:rPr>
          <w:rFonts w:hint="eastAsia" w:ascii="楷体_GB2312" w:hAnsi="楷体_GB2312" w:eastAsia="楷体_GB2312" w:cs="楷体_GB2312"/>
          <w:sz w:val="28"/>
          <w:szCs w:val="28"/>
        </w:rPr>
        <w:t>本标准严格按照《中华人民共和国标准法》、《中华人民共和国农业法》、《中华人民共和国农业技术推广法》等有关法律和质量技术监督局《农业标准化管理办法》等规章执行。本标准根据GB/T 1.1—2020《标准化工作导则  第1部分：标准化文件的结构和起草规则》的规定起草，内容和要求参照了相关法律规则，与现行法律、法规</w:t>
      </w:r>
      <w:r>
        <w:rPr>
          <w:rFonts w:hint="eastAsia" w:ascii="楷体_GB2312" w:hAnsi="楷体_GB2312" w:eastAsia="楷体_GB2312" w:cs="楷体_GB2312"/>
          <w:sz w:val="28"/>
          <w:szCs w:val="28"/>
          <w:lang w:val="en-US" w:eastAsia="zh-CN"/>
        </w:rPr>
        <w:t>没有冲突</w:t>
      </w:r>
      <w:bookmarkStart w:id="1" w:name="_Toc180078828"/>
      <w:bookmarkStart w:id="2" w:name="_Toc26718931"/>
      <w:bookmarkStart w:id="3" w:name="_Toc97191424"/>
      <w:bookmarkStart w:id="4" w:name="_Toc15563"/>
      <w:bookmarkStart w:id="5" w:name="_Toc26986772"/>
      <w:bookmarkStart w:id="6" w:name="_Toc26986531"/>
      <w:r>
        <w:rPr>
          <w:rFonts w:hint="eastAsia" w:ascii="楷体_GB2312" w:hAnsi="楷体_GB2312" w:eastAsia="楷体_GB2312" w:cs="楷体_GB2312"/>
          <w:sz w:val="28"/>
          <w:szCs w:val="28"/>
          <w:lang w:val="en-US" w:eastAsia="zh-CN"/>
        </w:rPr>
        <w:t>。</w:t>
      </w:r>
      <w:r>
        <w:rPr>
          <w:rFonts w:hint="eastAsia" w:ascii="Times New Roman" w:hAnsi="Times New Roman" w:eastAsia="楷体_GB2312" w:cs="Times New Roman"/>
          <w:kern w:val="2"/>
          <w:sz w:val="28"/>
          <w:szCs w:val="28"/>
          <w:lang w:val="en-US" w:eastAsia="zh-CN" w:bidi="ar-SA"/>
        </w:rPr>
        <w:t>规范性引用</w:t>
      </w:r>
      <w:r>
        <w:rPr>
          <w:rFonts w:hint="eastAsia" w:ascii="Times New Roman" w:eastAsia="楷体_GB2312" w:cs="Times New Roman"/>
          <w:kern w:val="2"/>
          <w:sz w:val="28"/>
          <w:szCs w:val="28"/>
          <w:lang w:val="en-US" w:eastAsia="zh-CN" w:bidi="ar-SA"/>
        </w:rPr>
        <w:t>的</w:t>
      </w:r>
      <w:bookmarkEnd w:id="1"/>
      <w:bookmarkEnd w:id="2"/>
      <w:bookmarkEnd w:id="3"/>
      <w:bookmarkEnd w:id="4"/>
      <w:bookmarkEnd w:id="5"/>
      <w:bookmarkEnd w:id="6"/>
      <w:r>
        <w:rPr>
          <w:rFonts w:hint="eastAsia" w:eastAsia="楷体_GB2312"/>
          <w:sz w:val="28"/>
          <w:szCs w:val="28"/>
        </w:rPr>
        <w:t>国家标准有：GB 4404.1、粮食作物种子 第1部分：禾谷类、GB 4404.2  粮食作物种子 第</w:t>
      </w:r>
      <w:r>
        <w:rPr>
          <w:rFonts w:hint="eastAsia" w:eastAsia="楷体_GB2312"/>
          <w:sz w:val="28"/>
          <w:szCs w:val="28"/>
          <w:lang w:val="en-US" w:eastAsia="zh-CN"/>
        </w:rPr>
        <w:t>2</w:t>
      </w:r>
      <w:r>
        <w:rPr>
          <w:rFonts w:hint="eastAsia" w:eastAsia="楷体_GB2312"/>
          <w:sz w:val="28"/>
          <w:szCs w:val="28"/>
        </w:rPr>
        <w:t xml:space="preserve">部分：豆类、GB/T </w:t>
      </w:r>
      <w:r>
        <w:rPr>
          <w:rFonts w:hint="eastAsia" w:eastAsia="楷体_GB2312"/>
          <w:sz w:val="28"/>
          <w:szCs w:val="28"/>
          <w:lang w:val="en-US" w:eastAsia="zh-CN"/>
        </w:rPr>
        <w:t>5668  旋耕机、</w:t>
      </w:r>
      <w:r>
        <w:rPr>
          <w:rFonts w:hint="eastAsia" w:eastAsia="楷体_GB2312"/>
          <w:sz w:val="28"/>
          <w:szCs w:val="28"/>
        </w:rPr>
        <w:t>GB/T 8321</w:t>
      </w:r>
      <w:r>
        <w:rPr>
          <w:rFonts w:hint="eastAsia" w:eastAsia="楷体_GB2312"/>
          <w:sz w:val="28"/>
          <w:szCs w:val="28"/>
          <w:lang w:val="en-US" w:eastAsia="zh-CN"/>
        </w:rPr>
        <w:t xml:space="preserve">  </w:t>
      </w:r>
      <w:r>
        <w:rPr>
          <w:rFonts w:hint="eastAsia" w:eastAsia="楷体_GB2312"/>
          <w:sz w:val="28"/>
          <w:szCs w:val="28"/>
        </w:rPr>
        <w:t>(所有部分) 农药合理使用准则</w:t>
      </w:r>
      <w:r>
        <w:rPr>
          <w:rFonts w:hint="eastAsia" w:eastAsia="楷体_GB2312"/>
          <w:sz w:val="28"/>
          <w:szCs w:val="28"/>
          <w:lang w:eastAsia="zh-CN"/>
        </w:rPr>
        <w:t>；</w:t>
      </w:r>
      <w:r>
        <w:rPr>
          <w:rFonts w:hint="eastAsia" w:eastAsia="楷体_GB2312"/>
          <w:sz w:val="28"/>
          <w:szCs w:val="28"/>
        </w:rPr>
        <w:t>行业标准有：NY/T 496</w:t>
      </w:r>
      <w:r>
        <w:rPr>
          <w:rFonts w:hint="eastAsia" w:eastAsia="楷体_GB2312"/>
          <w:sz w:val="28"/>
          <w:szCs w:val="28"/>
          <w:lang w:val="en-US" w:eastAsia="zh-CN"/>
        </w:rPr>
        <w:t xml:space="preserve">  </w:t>
      </w:r>
      <w:r>
        <w:rPr>
          <w:rFonts w:hint="eastAsia" w:eastAsia="楷体_GB2312"/>
          <w:sz w:val="28"/>
          <w:szCs w:val="28"/>
        </w:rPr>
        <w:t>肥料合理使用准则</w:t>
      </w:r>
      <w:r>
        <w:rPr>
          <w:rFonts w:hint="eastAsia" w:eastAsia="楷体_GB2312"/>
          <w:sz w:val="28"/>
          <w:szCs w:val="28"/>
          <w:lang w:val="en-US" w:eastAsia="zh-CN"/>
        </w:rPr>
        <w:t xml:space="preserve"> 通则、</w:t>
      </w:r>
      <w:r>
        <w:rPr>
          <w:rFonts w:hint="eastAsia" w:eastAsia="楷体_GB2312"/>
          <w:sz w:val="28"/>
          <w:szCs w:val="28"/>
        </w:rPr>
        <w:t>NY/T 49</w:t>
      </w:r>
      <w:r>
        <w:rPr>
          <w:rFonts w:hint="eastAsia" w:eastAsia="楷体_GB2312"/>
          <w:sz w:val="28"/>
          <w:szCs w:val="28"/>
          <w:lang w:val="en-US" w:eastAsia="zh-CN"/>
        </w:rPr>
        <w:t>9  旋耕机 作业质量、</w:t>
      </w:r>
      <w:r>
        <w:rPr>
          <w:rFonts w:hint="eastAsia" w:eastAsia="楷体_GB2312"/>
          <w:sz w:val="28"/>
          <w:szCs w:val="28"/>
        </w:rPr>
        <w:t xml:space="preserve">NY/T </w:t>
      </w:r>
      <w:r>
        <w:rPr>
          <w:rFonts w:hint="eastAsia" w:eastAsia="楷体_GB2312"/>
          <w:sz w:val="28"/>
          <w:szCs w:val="28"/>
          <w:lang w:val="en-US" w:eastAsia="zh-CN"/>
        </w:rPr>
        <w:t>1229  旋耕施肥播种联合作业机 作业质量、</w:t>
      </w:r>
      <w:r>
        <w:rPr>
          <w:rFonts w:hint="eastAsia" w:eastAsia="楷体_GB2312"/>
          <w:sz w:val="28"/>
          <w:szCs w:val="28"/>
        </w:rPr>
        <w:t xml:space="preserve">NY/T </w:t>
      </w:r>
      <w:r>
        <w:rPr>
          <w:rFonts w:hint="eastAsia" w:eastAsia="楷体_GB2312"/>
          <w:sz w:val="28"/>
          <w:szCs w:val="28"/>
          <w:lang w:val="en-US" w:eastAsia="zh-CN"/>
        </w:rPr>
        <w:t>1276  农药安全使用规范 总则</w:t>
      </w:r>
      <w:r>
        <w:rPr>
          <w:rFonts w:hint="eastAsia" w:eastAsia="楷体_GB2312"/>
          <w:sz w:val="28"/>
          <w:szCs w:val="28"/>
          <w:lang w:eastAsia="zh-CN"/>
        </w:rPr>
        <w:t>、</w:t>
      </w:r>
      <w:r>
        <w:rPr>
          <w:rFonts w:hint="default" w:eastAsia="楷体_GB2312"/>
          <w:sz w:val="28"/>
          <w:szCs w:val="28"/>
          <w:lang w:val="en-US" w:eastAsia="zh-CN"/>
        </w:rPr>
        <w:t xml:space="preserve">NY/T 1997 </w:t>
      </w:r>
      <w:r>
        <w:rPr>
          <w:rFonts w:hint="eastAsia" w:eastAsia="楷体_GB2312"/>
          <w:sz w:val="28"/>
          <w:szCs w:val="28"/>
          <w:lang w:val="en-US" w:eastAsia="zh-CN"/>
        </w:rPr>
        <w:t xml:space="preserve"> </w:t>
      </w:r>
      <w:r>
        <w:rPr>
          <w:rFonts w:hint="default" w:eastAsia="楷体_GB2312"/>
          <w:sz w:val="28"/>
          <w:szCs w:val="28"/>
          <w:lang w:val="en-US" w:eastAsia="zh-CN"/>
        </w:rPr>
        <w:t>除草剂安全使用技术规范</w:t>
      </w:r>
      <w:r>
        <w:rPr>
          <w:rFonts w:hint="eastAsia" w:eastAsia="楷体_GB2312"/>
          <w:sz w:val="28"/>
          <w:szCs w:val="28"/>
          <w:lang w:val="en-US" w:eastAsia="zh-CN"/>
        </w:rPr>
        <w:t xml:space="preserve"> </w:t>
      </w:r>
      <w:r>
        <w:rPr>
          <w:rFonts w:hint="default" w:eastAsia="楷体_GB2312"/>
          <w:sz w:val="28"/>
          <w:szCs w:val="28"/>
          <w:lang w:val="en-US" w:eastAsia="zh-CN"/>
        </w:rPr>
        <w:t>通则</w:t>
      </w:r>
      <w:r>
        <w:rPr>
          <w:rFonts w:hint="eastAsia" w:eastAsia="楷体_GB2312"/>
          <w:sz w:val="28"/>
          <w:szCs w:val="28"/>
          <w:lang w:val="en-US" w:eastAsia="zh-CN"/>
        </w:rPr>
        <w:t>，本标准所有内容</w:t>
      </w:r>
      <w:r>
        <w:rPr>
          <w:rFonts w:hint="eastAsia" w:ascii="楷体_GB2312" w:hAnsi="楷体_GB2312" w:eastAsia="楷体_GB2312" w:cs="楷体_GB2312"/>
          <w:sz w:val="28"/>
          <w:szCs w:val="28"/>
          <w:lang w:val="en-US" w:eastAsia="zh-CN"/>
        </w:rPr>
        <w:t>与现行的</w:t>
      </w:r>
      <w:r>
        <w:rPr>
          <w:rFonts w:hint="eastAsia" w:ascii="楷体_GB2312" w:hAnsi="楷体_GB2312" w:eastAsia="楷体_GB2312" w:cs="楷体_GB2312"/>
          <w:sz w:val="28"/>
          <w:szCs w:val="28"/>
        </w:rPr>
        <w:t>强制标准没有冲突</w:t>
      </w:r>
      <w:r>
        <w:rPr>
          <w:rFonts w:hint="eastAsia" w:ascii="楷体_GB2312" w:hAnsi="楷体_GB2312" w:eastAsia="楷体_GB2312" w:cs="楷体_GB2312"/>
          <w:sz w:val="28"/>
          <w:szCs w:val="28"/>
          <w:lang w:eastAsia="zh-CN"/>
        </w:rPr>
        <w:t>。</w:t>
      </w:r>
    </w:p>
    <w:p w14:paraId="49264E17">
      <w:pPr>
        <w:spacing w:line="600" w:lineRule="exact"/>
        <w:rPr>
          <w:rFonts w:ascii="宋体" w:hAnsi="宋体"/>
          <w:b/>
          <w:sz w:val="32"/>
          <w:szCs w:val="32"/>
        </w:rPr>
      </w:pPr>
      <w:r>
        <w:rPr>
          <w:rFonts w:hint="eastAsia" w:ascii="宋体" w:hAnsi="宋体"/>
          <w:b/>
          <w:sz w:val="32"/>
          <w:szCs w:val="32"/>
        </w:rPr>
        <w:t>五、主要条款的说明，主要技术指标、参数、试验验证的分析、综合论述</w:t>
      </w:r>
    </w:p>
    <w:p w14:paraId="5CD1F7CE">
      <w:pPr>
        <w:jc w:val="left"/>
        <w:rPr>
          <w:rFonts w:ascii="楷体_GB2312" w:hAnsi="楷体_GB2312" w:eastAsia="楷体_GB2312" w:cs="楷体_GB2312"/>
          <w:b/>
          <w:bCs/>
          <w:color w:val="auto"/>
          <w:sz w:val="30"/>
          <w:szCs w:val="30"/>
          <w:highlight w:val="none"/>
        </w:rPr>
      </w:pPr>
      <w:r>
        <w:rPr>
          <w:rFonts w:hint="eastAsia" w:ascii="楷体_GB2312" w:hAnsi="楷体_GB2312" w:eastAsia="楷体_GB2312" w:cs="楷体_GB2312"/>
          <w:b/>
          <w:bCs/>
          <w:color w:val="auto"/>
          <w:sz w:val="30"/>
          <w:szCs w:val="30"/>
          <w:highlight w:val="none"/>
        </w:rPr>
        <w:t>（一）主要条款</w:t>
      </w:r>
    </w:p>
    <w:p w14:paraId="6A248439">
      <w:pPr>
        <w:pStyle w:val="14"/>
        <w:ind w:firstLine="560"/>
        <w:rPr>
          <w:rFonts w:hint="default" w:ascii="楷体_GB2312" w:hAnsi="楷体_GB2312" w:eastAsia="楷体_GB2312" w:cs="楷体_GB2312"/>
          <w:color w:val="000000" w:themeColor="text1"/>
          <w:kern w:val="2"/>
          <w:sz w:val="28"/>
          <w:szCs w:val="28"/>
          <w:lang w:val="en-US" w:eastAsia="zh-CN"/>
          <w14:textFill>
            <w14:solidFill>
              <w14:schemeClr w14:val="tx1"/>
            </w14:solidFill>
          </w14:textFill>
        </w:rPr>
      </w:pPr>
      <w:bookmarkStart w:id="7" w:name="_Hlk136993795"/>
      <w:r>
        <w:rPr>
          <w:rFonts w:hint="eastAsia" w:ascii="楷体_GB2312" w:hAnsi="楷体_GB2312" w:eastAsia="楷体_GB2312" w:cs="楷体_GB2312"/>
          <w:color w:val="000000" w:themeColor="text1"/>
          <w:kern w:val="2"/>
          <w:sz w:val="28"/>
          <w:szCs w:val="28"/>
          <w:lang w:val="en-US" w:eastAsia="zh-CN"/>
          <w14:textFill>
            <w14:solidFill>
              <w14:schemeClr w14:val="tx1"/>
            </w14:solidFill>
          </w14:textFill>
        </w:rPr>
        <w:t>本标准分为10个章节，主要包括范围、规范性引用文件、术语和定义、</w:t>
      </w:r>
      <w:r>
        <w:rPr>
          <w:rFonts w:hint="eastAsia" w:ascii="楷体_GB2312" w:hAnsi="楷体_GB2312" w:eastAsia="楷体_GB2312" w:cs="楷体_GB2312"/>
          <w:kern w:val="2"/>
          <w:sz w:val="28"/>
          <w:szCs w:val="28"/>
        </w:rPr>
        <w:t>产地环境、</w:t>
      </w:r>
      <w:r>
        <w:rPr>
          <w:rFonts w:hint="eastAsia" w:ascii="楷体_GB2312" w:hAnsi="楷体_GB2312" w:eastAsia="楷体_GB2312" w:cs="楷体_GB2312"/>
          <w:kern w:val="2"/>
          <w:sz w:val="28"/>
          <w:szCs w:val="28"/>
          <w:lang w:val="en-US" w:eastAsia="zh-CN"/>
        </w:rPr>
        <w:t>品种选择</w:t>
      </w:r>
      <w:r>
        <w:rPr>
          <w:rFonts w:hint="eastAsia" w:ascii="楷体_GB2312" w:hAnsi="楷体_GB2312" w:eastAsia="楷体_GB2312" w:cs="楷体_GB2312"/>
          <w:kern w:val="2"/>
          <w:sz w:val="28"/>
          <w:szCs w:val="28"/>
        </w:rPr>
        <w:t>、</w:t>
      </w:r>
      <w:r>
        <w:rPr>
          <w:rFonts w:hint="eastAsia" w:ascii="楷体_GB2312" w:hAnsi="楷体_GB2312" w:eastAsia="楷体_GB2312" w:cs="楷体_GB2312"/>
          <w:kern w:val="2"/>
          <w:sz w:val="28"/>
          <w:szCs w:val="28"/>
          <w:lang w:val="en-US" w:eastAsia="zh-CN"/>
        </w:rPr>
        <w:t>播前准备、</w:t>
      </w:r>
      <w:r>
        <w:rPr>
          <w:rFonts w:hint="eastAsia" w:ascii="楷体_GB2312" w:hAnsi="楷体_GB2312" w:eastAsia="楷体_GB2312" w:cs="楷体_GB2312"/>
          <w:kern w:val="2"/>
          <w:sz w:val="28"/>
          <w:szCs w:val="28"/>
        </w:rPr>
        <w:t>播种、田间管理、</w:t>
      </w:r>
      <w:r>
        <w:rPr>
          <w:rFonts w:hint="eastAsia" w:ascii="楷体_GB2312" w:hAnsi="楷体_GB2312" w:eastAsia="楷体_GB2312" w:cs="楷体_GB2312"/>
          <w:kern w:val="2"/>
          <w:sz w:val="28"/>
          <w:szCs w:val="28"/>
          <w:lang w:val="en-US" w:eastAsia="zh-CN"/>
        </w:rPr>
        <w:t>病虫草害防治、</w:t>
      </w:r>
      <w:r>
        <w:rPr>
          <w:rFonts w:hint="eastAsia" w:ascii="楷体_GB2312" w:hAnsi="楷体_GB2312" w:eastAsia="楷体_GB2312" w:cs="楷体_GB2312"/>
          <w:kern w:val="2"/>
          <w:sz w:val="28"/>
          <w:szCs w:val="28"/>
        </w:rPr>
        <w:t>收获</w:t>
      </w:r>
      <w:r>
        <w:rPr>
          <w:rFonts w:hint="eastAsia" w:ascii="楷体_GB2312" w:hAnsi="楷体_GB2312" w:eastAsia="楷体_GB2312" w:cs="楷体_GB2312"/>
          <w:kern w:val="2"/>
          <w:sz w:val="28"/>
          <w:szCs w:val="28"/>
          <w:lang w:val="en-US" w:eastAsia="zh-CN"/>
        </w:rPr>
        <w:t>的要求。</w:t>
      </w:r>
    </w:p>
    <w:bookmarkEnd w:id="7"/>
    <w:p w14:paraId="6FEFAFBA">
      <w:pPr>
        <w:jc w:val="left"/>
        <w:rPr>
          <w:rFonts w:hint="eastAsia" w:ascii="楷体_GB2312" w:hAnsi="楷体_GB2312" w:eastAsia="楷体_GB2312" w:cs="楷体_GB2312"/>
          <w:b/>
          <w:bCs/>
          <w:sz w:val="32"/>
          <w:szCs w:val="32"/>
          <w:highlight w:val="none"/>
          <w:lang w:eastAsia="zh-CN"/>
        </w:rPr>
      </w:pPr>
      <w:r>
        <w:rPr>
          <w:rFonts w:hint="eastAsia" w:ascii="楷体_GB2312" w:hAnsi="楷体_GB2312" w:eastAsia="楷体_GB2312" w:cs="楷体_GB2312"/>
          <w:b/>
          <w:bCs/>
          <w:sz w:val="32"/>
          <w:szCs w:val="32"/>
          <w:highlight w:val="none"/>
        </w:rPr>
        <w:t>（三）主要技术指标、参数的试验验证方法</w:t>
      </w:r>
    </w:p>
    <w:p w14:paraId="22077D47">
      <w:pPr>
        <w:ind w:firstLine="560" w:firstLineChars="200"/>
        <w:rPr>
          <w:rFonts w:hint="eastAsia" w:eastAsia="楷体_GB2312"/>
          <w:sz w:val="28"/>
          <w:szCs w:val="28"/>
        </w:rPr>
      </w:pPr>
      <w:r>
        <w:rPr>
          <w:rFonts w:hint="eastAsia" w:eastAsia="楷体_GB2312"/>
          <w:sz w:val="28"/>
          <w:szCs w:val="28"/>
          <w:lang w:val="en-US" w:eastAsia="zh-CN"/>
        </w:rPr>
        <w:t>1</w:t>
      </w:r>
      <w:r>
        <w:rPr>
          <w:rFonts w:hint="eastAsia" w:eastAsia="楷体_GB2312"/>
          <w:sz w:val="28"/>
          <w:szCs w:val="28"/>
          <w:lang w:eastAsia="zh-CN"/>
        </w:rPr>
        <w:t>、</w:t>
      </w:r>
      <w:r>
        <w:rPr>
          <w:rFonts w:hint="eastAsia" w:eastAsia="楷体_GB2312"/>
          <w:sz w:val="28"/>
          <w:szCs w:val="28"/>
        </w:rPr>
        <w:t>播种方式(</w:t>
      </w:r>
      <w:r>
        <w:rPr>
          <w:rFonts w:hint="eastAsia" w:eastAsia="楷体_GB2312"/>
          <w:sz w:val="28"/>
          <w:szCs w:val="28"/>
          <w:lang w:val="en-US" w:eastAsia="zh-CN"/>
        </w:rPr>
        <w:t>7.2</w:t>
      </w:r>
      <w:r>
        <w:rPr>
          <w:rFonts w:hint="eastAsia" w:eastAsia="楷体_GB2312"/>
          <w:sz w:val="28"/>
          <w:szCs w:val="28"/>
        </w:rPr>
        <w:t>)</w:t>
      </w:r>
    </w:p>
    <w:p w14:paraId="3FD52C55">
      <w:pPr>
        <w:ind w:firstLine="560" w:firstLineChars="200"/>
        <w:rPr>
          <w:rFonts w:hint="eastAsia" w:eastAsia="楷体_GB2312"/>
          <w:sz w:val="28"/>
          <w:szCs w:val="28"/>
          <w:lang w:val="en-US" w:eastAsia="zh-CN"/>
        </w:rPr>
      </w:pPr>
      <w:r>
        <w:rPr>
          <w:rFonts w:hint="eastAsia" w:eastAsia="楷体_GB2312"/>
          <w:sz w:val="28"/>
          <w:szCs w:val="28"/>
          <w:lang w:eastAsia="zh-CN"/>
        </w:rPr>
        <w:t>（</w:t>
      </w:r>
      <w:r>
        <w:rPr>
          <w:rFonts w:hint="eastAsia" w:eastAsia="楷体_GB2312"/>
          <w:sz w:val="28"/>
          <w:szCs w:val="28"/>
          <w:lang w:val="en-US" w:eastAsia="zh-CN"/>
        </w:rPr>
        <w:t>1</w:t>
      </w:r>
      <w:r>
        <w:rPr>
          <w:rFonts w:hint="eastAsia" w:eastAsia="楷体_GB2312"/>
          <w:sz w:val="28"/>
          <w:szCs w:val="28"/>
          <w:lang w:eastAsia="zh-CN"/>
        </w:rPr>
        <w:t>）</w:t>
      </w:r>
      <w:r>
        <w:rPr>
          <w:rFonts w:hint="eastAsia" w:eastAsia="楷体_GB2312"/>
          <w:sz w:val="28"/>
          <w:szCs w:val="28"/>
        </w:rPr>
        <w:t>确定依据</w:t>
      </w:r>
      <w:r>
        <w:rPr>
          <w:rFonts w:hint="eastAsia" w:eastAsia="楷体_GB2312"/>
          <w:sz w:val="28"/>
          <w:szCs w:val="28"/>
          <w:lang w:eastAsia="zh-CN"/>
        </w:rPr>
        <w:t>：</w:t>
      </w:r>
      <w:r>
        <w:rPr>
          <w:rFonts w:hint="eastAsia" w:eastAsia="楷体_GB2312"/>
          <w:sz w:val="28"/>
          <w:szCs w:val="28"/>
          <w:lang w:val="en-US" w:eastAsia="zh-CN"/>
        </w:rPr>
        <w:t>相关指标和参数</w:t>
      </w:r>
      <w:r>
        <w:rPr>
          <w:rFonts w:hint="eastAsia" w:eastAsia="楷体_GB2312"/>
          <w:sz w:val="28"/>
          <w:szCs w:val="28"/>
        </w:rPr>
        <w:t>来自项目组已有研究成果山西省科技进步三等奖“谷豆分带种植高产高效技术及机理研究”，</w:t>
      </w:r>
      <w:r>
        <w:rPr>
          <w:rFonts w:hint="eastAsia" w:eastAsia="楷体_GB2312"/>
          <w:sz w:val="28"/>
          <w:szCs w:val="28"/>
          <w:lang w:val="en-US" w:eastAsia="zh-CN"/>
        </w:rPr>
        <w:t>结合</w:t>
      </w:r>
      <w:r>
        <w:rPr>
          <w:rFonts w:eastAsia="楷体_GB2312"/>
          <w:sz w:val="28"/>
          <w:szCs w:val="28"/>
        </w:rPr>
        <w:t>国家科技支撑计划课题</w:t>
      </w:r>
      <w:r>
        <w:rPr>
          <w:rFonts w:hint="eastAsia" w:eastAsia="楷体_GB2312"/>
          <w:sz w:val="28"/>
          <w:szCs w:val="28"/>
        </w:rPr>
        <w:t>“</w:t>
      </w:r>
      <w:r>
        <w:rPr>
          <w:rFonts w:eastAsia="楷体_GB2312"/>
          <w:sz w:val="28"/>
          <w:szCs w:val="28"/>
        </w:rPr>
        <w:t>华北半湿润偏旱区粮经饲综合技术集成与示范</w:t>
      </w:r>
      <w:r>
        <w:rPr>
          <w:rFonts w:hint="eastAsia" w:eastAsia="楷体_GB2312"/>
          <w:sz w:val="28"/>
          <w:szCs w:val="28"/>
        </w:rPr>
        <w:t>”</w:t>
      </w:r>
      <w:r>
        <w:rPr>
          <w:rFonts w:hint="eastAsia" w:eastAsia="楷体_GB2312"/>
          <w:sz w:val="28"/>
          <w:szCs w:val="28"/>
          <w:lang w:eastAsia="zh-CN"/>
        </w:rPr>
        <w:t>、</w:t>
      </w:r>
      <w:r>
        <w:rPr>
          <w:rFonts w:eastAsia="楷体_GB2312"/>
          <w:sz w:val="28"/>
          <w:szCs w:val="28"/>
        </w:rPr>
        <w:t>山西省农业科学院重点招标项目</w:t>
      </w:r>
      <w:r>
        <w:rPr>
          <w:rFonts w:hint="eastAsia" w:eastAsia="楷体_GB2312"/>
          <w:sz w:val="28"/>
          <w:szCs w:val="28"/>
        </w:rPr>
        <w:t>“</w:t>
      </w:r>
      <w:r>
        <w:rPr>
          <w:rFonts w:eastAsia="楷体_GB2312"/>
          <w:sz w:val="28"/>
          <w:szCs w:val="28"/>
        </w:rPr>
        <w:t>旱地多作高效种植关键技术研究</w:t>
      </w:r>
      <w:r>
        <w:rPr>
          <w:rFonts w:hint="eastAsia" w:eastAsia="楷体_GB2312"/>
          <w:sz w:val="28"/>
          <w:szCs w:val="28"/>
        </w:rPr>
        <w:t>”</w:t>
      </w:r>
      <w:r>
        <w:rPr>
          <w:rFonts w:hint="eastAsia" w:eastAsia="楷体_GB2312"/>
          <w:sz w:val="28"/>
          <w:szCs w:val="28"/>
          <w:lang w:eastAsia="zh-CN"/>
        </w:rPr>
        <w:t>、</w:t>
      </w:r>
      <w:r>
        <w:rPr>
          <w:rFonts w:eastAsia="楷体_GB2312"/>
          <w:sz w:val="28"/>
          <w:szCs w:val="28"/>
        </w:rPr>
        <w:t>山西省重点研发计划重点项目</w:t>
      </w:r>
      <w:r>
        <w:rPr>
          <w:rFonts w:hint="eastAsia" w:eastAsia="楷体_GB2312"/>
          <w:sz w:val="28"/>
          <w:szCs w:val="28"/>
        </w:rPr>
        <w:t>“</w:t>
      </w:r>
      <w:r>
        <w:rPr>
          <w:rFonts w:eastAsia="楷体_GB2312"/>
          <w:sz w:val="28"/>
          <w:szCs w:val="28"/>
        </w:rPr>
        <w:t>山西有机旱作农业关键技术研究与示范</w:t>
      </w:r>
      <w:r>
        <w:rPr>
          <w:rFonts w:hint="eastAsia" w:eastAsia="楷体_GB2312"/>
          <w:sz w:val="28"/>
          <w:szCs w:val="28"/>
        </w:rPr>
        <w:t>”</w:t>
      </w:r>
      <w:r>
        <w:rPr>
          <w:rFonts w:eastAsia="楷体_GB2312"/>
          <w:sz w:val="28"/>
          <w:szCs w:val="28"/>
        </w:rPr>
        <w:t xml:space="preserve"> </w:t>
      </w:r>
      <w:r>
        <w:rPr>
          <w:rFonts w:hint="eastAsia" w:eastAsia="楷体_GB2312"/>
          <w:sz w:val="28"/>
          <w:szCs w:val="28"/>
          <w:lang w:eastAsia="zh-CN"/>
        </w:rPr>
        <w:t>，</w:t>
      </w:r>
      <w:r>
        <w:rPr>
          <w:rFonts w:hint="eastAsia" w:eastAsia="楷体_GB2312"/>
          <w:sz w:val="28"/>
          <w:szCs w:val="28"/>
          <w:lang w:val="en-US" w:eastAsia="zh-CN"/>
        </w:rPr>
        <w:t>进行验证和示范应用。</w:t>
      </w:r>
    </w:p>
    <w:p w14:paraId="7BD735D5">
      <w:pPr>
        <w:ind w:firstLine="560" w:firstLineChars="200"/>
        <w:rPr>
          <w:rFonts w:hint="eastAsia" w:eastAsia="楷体_GB2312"/>
          <w:sz w:val="28"/>
          <w:szCs w:val="28"/>
          <w:lang w:val="en-US" w:eastAsia="zh-CN"/>
        </w:rPr>
      </w:pPr>
      <w:r>
        <w:rPr>
          <w:rFonts w:hint="eastAsia" w:eastAsia="楷体_GB2312"/>
          <w:sz w:val="28"/>
          <w:szCs w:val="28"/>
          <w:lang w:val="en-US" w:eastAsia="zh-CN"/>
        </w:rPr>
        <w:t>（2）验证方</w:t>
      </w:r>
      <w:r>
        <w:rPr>
          <w:rFonts w:hint="eastAsia" w:ascii="楷体_GB2312" w:hAnsi="楷体_GB2312" w:eastAsia="楷体_GB2312" w:cs="楷体_GB2312"/>
          <w:sz w:val="28"/>
          <w:szCs w:val="28"/>
          <w:lang w:val="en-US" w:eastAsia="zh-CN"/>
        </w:rPr>
        <w:t>法：2010-2023年，历经多年</w:t>
      </w:r>
      <w:r>
        <w:rPr>
          <w:rFonts w:hint="eastAsia" w:eastAsia="楷体_GB2312"/>
          <w:sz w:val="28"/>
          <w:szCs w:val="28"/>
          <w:lang w:val="en-US" w:eastAsia="zh-CN"/>
        </w:rPr>
        <w:t>，在晋中市寿阳县宗艾镇（国家长期定位试验站），通过不同行比的模式、播种行株距、播量等参数的对比，确定播种的相关参数。在临汾市永和县坡头乡、晋城市泽州县高都镇、忻州市繁峙县</w:t>
      </w:r>
      <w:r>
        <w:rPr>
          <w:rFonts w:hint="eastAsia" w:eastAsia="楷体_GB2312"/>
          <w:sz w:val="28"/>
          <w:szCs w:val="28"/>
          <w:lang w:val="en-US" w:eastAsia="zh-CN"/>
        </w:rPr>
        <w:fldChar w:fldCharType="begin"/>
      </w:r>
      <w:r>
        <w:rPr>
          <w:rFonts w:hint="eastAsia" w:eastAsia="楷体_GB2312"/>
          <w:sz w:val="28"/>
          <w:szCs w:val="28"/>
          <w:lang w:val="en-US" w:eastAsia="zh-CN"/>
        </w:rPr>
        <w:instrText xml:space="preserve"> HYPERLINK "https://baike.so.com/doc/5768777-5981547.html" \t "https://baike.so.com/doc/_blank" </w:instrText>
      </w:r>
      <w:r>
        <w:rPr>
          <w:rFonts w:hint="eastAsia" w:eastAsia="楷体_GB2312"/>
          <w:sz w:val="28"/>
          <w:szCs w:val="28"/>
          <w:lang w:val="en-US" w:eastAsia="zh-CN"/>
        </w:rPr>
        <w:fldChar w:fldCharType="separate"/>
      </w:r>
      <w:r>
        <w:rPr>
          <w:rFonts w:hint="default" w:eastAsia="楷体_GB2312"/>
          <w:sz w:val="28"/>
          <w:szCs w:val="28"/>
          <w:lang w:val="en-US" w:eastAsia="zh-CN"/>
        </w:rPr>
        <w:t>砂河镇</w:t>
      </w:r>
      <w:r>
        <w:rPr>
          <w:rFonts w:hint="default" w:eastAsia="楷体_GB2312"/>
          <w:sz w:val="28"/>
          <w:szCs w:val="28"/>
          <w:lang w:val="en-US" w:eastAsia="zh-CN"/>
        </w:rPr>
        <w:fldChar w:fldCharType="end"/>
      </w:r>
      <w:r>
        <w:rPr>
          <w:rFonts w:hint="eastAsia" w:eastAsia="楷体_GB2312"/>
          <w:sz w:val="28"/>
          <w:szCs w:val="28"/>
          <w:lang w:val="en-US" w:eastAsia="zh-CN"/>
        </w:rPr>
        <w:t>、吕梁市兴县蔡家会镇进行种植生产验证，验证了播种环节指标的合理性。</w:t>
      </w:r>
    </w:p>
    <w:p w14:paraId="733F02EF">
      <w:pPr>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lang w:val="en-US" w:eastAsia="zh-CN"/>
        </w:rPr>
        <w:t>2</w:t>
      </w: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rPr>
        <w:t>肥料使用要求依据(</w:t>
      </w:r>
      <w:r>
        <w:rPr>
          <w:rFonts w:hint="eastAsia" w:ascii="楷体_GB2312" w:hAnsi="楷体_GB2312" w:eastAsia="楷体_GB2312" w:cs="楷体_GB2312"/>
          <w:sz w:val="28"/>
          <w:szCs w:val="28"/>
          <w:lang w:val="en-US" w:eastAsia="zh-CN"/>
        </w:rPr>
        <w:t>8.1</w:t>
      </w:r>
      <w:r>
        <w:rPr>
          <w:rFonts w:hint="eastAsia" w:ascii="楷体_GB2312" w:hAnsi="楷体_GB2312" w:eastAsia="楷体_GB2312" w:cs="楷体_GB2312"/>
          <w:sz w:val="28"/>
          <w:szCs w:val="28"/>
        </w:rPr>
        <w:t>)</w:t>
      </w:r>
    </w:p>
    <w:p w14:paraId="6DF06992">
      <w:pPr>
        <w:ind w:firstLine="560" w:firstLineChars="200"/>
        <w:rPr>
          <w:rFonts w:hint="eastAsia" w:ascii="楷体_GB2312" w:hAnsi="楷体_GB2312" w:eastAsia="楷体_GB2312" w:cs="楷体_GB2312"/>
          <w:sz w:val="28"/>
          <w:szCs w:val="28"/>
          <w:lang w:eastAsia="zh-CN"/>
        </w:rPr>
      </w:pPr>
      <w:r>
        <w:rPr>
          <w:rFonts w:hint="eastAsia" w:ascii="楷体_GB2312" w:hAnsi="楷体_GB2312" w:eastAsia="楷体_GB2312" w:cs="楷体_GB2312"/>
          <w:sz w:val="28"/>
          <w:szCs w:val="28"/>
        </w:rPr>
        <w:t>(1)</w:t>
      </w:r>
      <w:r>
        <w:rPr>
          <w:rFonts w:hint="eastAsia" w:ascii="楷体_GB2312" w:hAnsi="楷体_GB2312" w:eastAsia="楷体_GB2312" w:cs="楷体_GB2312"/>
          <w:sz w:val="28"/>
          <w:szCs w:val="28"/>
          <w:lang w:val="en-US" w:eastAsia="zh-CN"/>
        </w:rPr>
        <w:t xml:space="preserve"> </w:t>
      </w:r>
      <w:r>
        <w:rPr>
          <w:rFonts w:hint="eastAsia" w:ascii="楷体_GB2312" w:hAnsi="楷体_GB2312" w:eastAsia="楷体_GB2312" w:cs="楷体_GB2312"/>
          <w:sz w:val="28"/>
          <w:szCs w:val="28"/>
        </w:rPr>
        <w:t>确定依据:本指标依据是 NY/T 496 肥料合理使用准则规定的内容确定对化肥要求提出</w:t>
      </w:r>
      <w:r>
        <w:rPr>
          <w:rFonts w:hint="eastAsia" w:ascii="楷体_GB2312" w:hAnsi="楷体_GB2312" w:eastAsia="楷体_GB2312" w:cs="楷体_GB2312"/>
          <w:sz w:val="28"/>
          <w:szCs w:val="28"/>
          <w:lang w:eastAsia="zh-CN"/>
        </w:rPr>
        <w:t>。</w:t>
      </w:r>
    </w:p>
    <w:p w14:paraId="761A9EC1">
      <w:pPr>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(2)</w:t>
      </w:r>
      <w:r>
        <w:rPr>
          <w:rFonts w:hint="eastAsia" w:ascii="楷体_GB2312" w:hAnsi="楷体_GB2312" w:eastAsia="楷体_GB2312" w:cs="楷体_GB2312"/>
          <w:sz w:val="28"/>
          <w:szCs w:val="28"/>
          <w:lang w:val="en-US" w:eastAsia="zh-CN"/>
        </w:rPr>
        <w:t xml:space="preserve"> </w:t>
      </w:r>
      <w:r>
        <w:rPr>
          <w:rFonts w:hint="eastAsia" w:ascii="楷体_GB2312" w:hAnsi="楷体_GB2312" w:eastAsia="楷体_GB2312" w:cs="楷体_GB2312"/>
          <w:sz w:val="28"/>
          <w:szCs w:val="28"/>
        </w:rPr>
        <w:t>验证方法:20</w:t>
      </w:r>
      <w:r>
        <w:rPr>
          <w:rFonts w:hint="eastAsia" w:ascii="楷体_GB2312" w:hAnsi="楷体_GB2312" w:eastAsia="楷体_GB2312" w:cs="楷体_GB2312"/>
          <w:sz w:val="28"/>
          <w:szCs w:val="28"/>
          <w:lang w:val="en-US" w:eastAsia="zh-CN"/>
        </w:rPr>
        <w:t>19</w:t>
      </w:r>
      <w:r>
        <w:rPr>
          <w:rFonts w:hint="eastAsia" w:ascii="楷体_GB2312" w:hAnsi="楷体_GB2312" w:eastAsia="楷体_GB2312" w:cs="楷体_GB2312"/>
          <w:sz w:val="28"/>
          <w:szCs w:val="28"/>
        </w:rPr>
        <w:t>-20</w:t>
      </w:r>
      <w:r>
        <w:rPr>
          <w:rFonts w:hint="eastAsia" w:ascii="楷体_GB2312" w:hAnsi="楷体_GB2312" w:eastAsia="楷体_GB2312" w:cs="楷体_GB2312"/>
          <w:sz w:val="28"/>
          <w:szCs w:val="28"/>
          <w:lang w:val="en-US" w:eastAsia="zh-CN"/>
        </w:rPr>
        <w:t>23</w:t>
      </w:r>
      <w:r>
        <w:rPr>
          <w:rFonts w:hint="eastAsia" w:ascii="楷体_GB2312" w:hAnsi="楷体_GB2312" w:eastAsia="楷体_GB2312" w:cs="楷体_GB2312"/>
          <w:sz w:val="28"/>
          <w:szCs w:val="28"/>
        </w:rPr>
        <w:t>年</w:t>
      </w: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lang w:val="en-US" w:eastAsia="zh-CN"/>
        </w:rPr>
        <w:t>连续五年</w:t>
      </w:r>
      <w:r>
        <w:rPr>
          <w:rFonts w:hint="eastAsia" w:ascii="楷体_GB2312" w:hAnsi="楷体_GB2312" w:eastAsia="楷体_GB2312" w:cs="楷体_GB2312"/>
          <w:sz w:val="28"/>
          <w:szCs w:val="28"/>
        </w:rPr>
        <w:t>在</w:t>
      </w:r>
      <w:r>
        <w:rPr>
          <w:rFonts w:hint="eastAsia" w:ascii="楷体_GB2312" w:hAnsi="楷体_GB2312" w:eastAsia="楷体_GB2312" w:cs="楷体_GB2312"/>
          <w:sz w:val="28"/>
          <w:szCs w:val="28"/>
          <w:lang w:val="en-US" w:eastAsia="zh-CN"/>
        </w:rPr>
        <w:t>寿阳县宗艾镇、景尚乡，</w:t>
      </w:r>
      <w:r>
        <w:rPr>
          <w:rFonts w:hint="eastAsia" w:ascii="楷体_GB2312" w:hAnsi="楷体_GB2312" w:eastAsia="楷体_GB2312" w:cs="楷体_GB2312"/>
          <w:sz w:val="28"/>
          <w:szCs w:val="28"/>
        </w:rPr>
        <w:t>进行谷</w:t>
      </w:r>
      <w:r>
        <w:rPr>
          <w:rFonts w:hint="eastAsia" w:ascii="楷体_GB2312" w:hAnsi="楷体_GB2312" w:eastAsia="楷体_GB2312" w:cs="楷体_GB2312"/>
          <w:sz w:val="28"/>
          <w:szCs w:val="28"/>
          <w:lang w:val="en-US" w:eastAsia="zh-CN"/>
        </w:rPr>
        <w:t>豆条带</w:t>
      </w:r>
      <w:r>
        <w:rPr>
          <w:rFonts w:hint="eastAsia" w:ascii="楷体_GB2312" w:hAnsi="楷体_GB2312" w:eastAsia="楷体_GB2312" w:cs="楷体_GB2312"/>
          <w:sz w:val="28"/>
          <w:szCs w:val="28"/>
        </w:rPr>
        <w:t>种植肥料要求的</w:t>
      </w:r>
      <w:r>
        <w:rPr>
          <w:rFonts w:hint="eastAsia" w:ascii="楷体_GB2312" w:hAnsi="楷体_GB2312" w:eastAsia="楷体_GB2312" w:cs="楷体_GB2312"/>
          <w:sz w:val="28"/>
          <w:szCs w:val="28"/>
          <w:lang w:val="en-US" w:eastAsia="zh-CN"/>
        </w:rPr>
        <w:t>验证</w:t>
      </w:r>
      <w:r>
        <w:rPr>
          <w:rFonts w:hint="eastAsia" w:ascii="楷体_GB2312" w:hAnsi="楷体_GB2312" w:eastAsia="楷体_GB2312" w:cs="楷体_GB2312"/>
          <w:sz w:val="28"/>
          <w:szCs w:val="28"/>
        </w:rPr>
        <w:t>，实践证明:该标准制定的施肥原则、施肥用量以及施肥方法均科学可行。</w:t>
      </w:r>
    </w:p>
    <w:p w14:paraId="51200B3F">
      <w:pPr>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3</w:t>
      </w: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rPr>
        <w:t>农药</w:t>
      </w: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lang w:val="en-US" w:eastAsia="zh-CN"/>
        </w:rPr>
        <w:t>除草剂</w:t>
      </w:r>
      <w:r>
        <w:rPr>
          <w:rFonts w:hint="eastAsia" w:ascii="楷体_GB2312" w:hAnsi="楷体_GB2312" w:eastAsia="楷体_GB2312" w:cs="楷体_GB2312"/>
          <w:sz w:val="28"/>
          <w:szCs w:val="28"/>
        </w:rPr>
        <w:t>使用要求依据(</w:t>
      </w:r>
      <w:r>
        <w:rPr>
          <w:rFonts w:hint="eastAsia" w:ascii="楷体_GB2312" w:hAnsi="楷体_GB2312" w:eastAsia="楷体_GB2312" w:cs="楷体_GB2312"/>
          <w:sz w:val="28"/>
          <w:szCs w:val="28"/>
          <w:lang w:val="en-US" w:eastAsia="zh-CN"/>
        </w:rPr>
        <w:t>9.1</w:t>
      </w:r>
      <w:r>
        <w:rPr>
          <w:rFonts w:hint="eastAsia" w:ascii="楷体_GB2312" w:hAnsi="楷体_GB2312" w:eastAsia="楷体_GB2312" w:cs="楷体_GB2312"/>
          <w:sz w:val="28"/>
          <w:szCs w:val="28"/>
        </w:rPr>
        <w:t>)</w:t>
      </w:r>
    </w:p>
    <w:p w14:paraId="5BF06395">
      <w:pPr>
        <w:ind w:firstLine="560" w:firstLineChars="200"/>
        <w:rPr>
          <w:rFonts w:hint="default" w:ascii="楷体_GB2312" w:hAnsi="楷体_GB2312" w:eastAsia="楷体_GB2312" w:cs="楷体_GB2312"/>
          <w:sz w:val="28"/>
          <w:szCs w:val="28"/>
          <w:lang w:val="en-US" w:eastAsia="zh-CN"/>
        </w:rPr>
      </w:pPr>
      <w:r>
        <w:rPr>
          <w:rFonts w:hint="eastAsia" w:ascii="楷体_GB2312" w:hAnsi="楷体_GB2312" w:eastAsia="楷体_GB2312" w:cs="楷体_GB2312"/>
          <w:sz w:val="28"/>
          <w:szCs w:val="28"/>
        </w:rPr>
        <w:t>(1)</w:t>
      </w:r>
      <w:r>
        <w:rPr>
          <w:rFonts w:hint="eastAsia" w:ascii="楷体_GB2312" w:hAnsi="楷体_GB2312" w:eastAsia="楷体_GB2312" w:cs="楷体_GB2312"/>
          <w:sz w:val="28"/>
          <w:szCs w:val="28"/>
          <w:lang w:val="en-US" w:eastAsia="zh-CN"/>
        </w:rPr>
        <w:t xml:space="preserve"> </w:t>
      </w:r>
      <w:r>
        <w:rPr>
          <w:rFonts w:hint="eastAsia" w:ascii="楷体_GB2312" w:hAnsi="楷体_GB2312" w:eastAsia="楷体_GB2312" w:cs="楷体_GB2312"/>
          <w:sz w:val="28"/>
          <w:szCs w:val="28"/>
        </w:rPr>
        <w:t>确定依据:按照 GB/T 8321</w:t>
      </w:r>
      <w:r>
        <w:rPr>
          <w:rFonts w:hint="eastAsia" w:ascii="楷体_GB2312" w:hAnsi="楷体_GB2312" w:eastAsia="楷体_GB2312" w:cs="楷体_GB2312"/>
          <w:sz w:val="28"/>
          <w:szCs w:val="28"/>
          <w:lang w:val="en-US" w:eastAsia="zh-CN"/>
        </w:rPr>
        <w:t xml:space="preserve"> </w:t>
      </w:r>
      <w:r>
        <w:rPr>
          <w:rFonts w:hint="eastAsia" w:ascii="楷体_GB2312" w:hAnsi="楷体_GB2312" w:eastAsia="楷体_GB2312" w:cs="楷体_GB2312"/>
          <w:sz w:val="28"/>
          <w:szCs w:val="28"/>
        </w:rPr>
        <w:t>农药合理使用准则</w:t>
      </w:r>
      <w:r>
        <w:rPr>
          <w:rFonts w:hint="eastAsia" w:ascii="楷体_GB2312" w:hAnsi="楷体_GB2312" w:eastAsia="楷体_GB2312" w:cs="楷体_GB2312"/>
          <w:sz w:val="28"/>
          <w:szCs w:val="28"/>
          <w:lang w:val="en-US" w:eastAsia="zh-CN"/>
        </w:rPr>
        <w:t xml:space="preserve">和 </w:t>
      </w:r>
      <w:r>
        <w:rPr>
          <w:rFonts w:hint="eastAsia" w:ascii="楷体_GB2312" w:hAnsi="楷体_GB2312" w:eastAsia="楷体_GB2312" w:cs="楷体_GB2312"/>
          <w:sz w:val="28"/>
          <w:szCs w:val="28"/>
        </w:rPr>
        <w:t>NY/T</w:t>
      </w:r>
      <w:r>
        <w:rPr>
          <w:rFonts w:hint="eastAsia" w:ascii="楷体_GB2312" w:hAnsi="楷体_GB2312" w:eastAsia="楷体_GB2312" w:cs="楷体_GB2312"/>
          <w:sz w:val="28"/>
          <w:szCs w:val="28"/>
          <w:lang w:val="en-US" w:eastAsia="zh-CN"/>
        </w:rPr>
        <w:t xml:space="preserve"> </w:t>
      </w:r>
      <w:r>
        <w:rPr>
          <w:rFonts w:hint="eastAsia" w:ascii="楷体_GB2312" w:hAnsi="楷体_GB2312" w:eastAsia="楷体_GB2312" w:cs="楷体_GB2312"/>
          <w:sz w:val="28"/>
          <w:szCs w:val="28"/>
        </w:rPr>
        <w:t>1276 农药安全使用规范</w:t>
      </w:r>
      <w:r>
        <w:rPr>
          <w:rFonts w:hint="eastAsia" w:ascii="楷体_GB2312" w:hAnsi="楷体_GB2312" w:eastAsia="楷体_GB2312" w:cs="楷体_GB2312"/>
          <w:sz w:val="28"/>
          <w:szCs w:val="28"/>
          <w:lang w:val="en-US" w:eastAsia="zh-CN"/>
        </w:rPr>
        <w:t>总</w:t>
      </w:r>
      <w:r>
        <w:rPr>
          <w:rFonts w:hint="eastAsia" w:ascii="楷体_GB2312" w:hAnsi="楷体_GB2312" w:eastAsia="楷体_GB2312" w:cs="楷体_GB2312"/>
          <w:sz w:val="28"/>
          <w:szCs w:val="28"/>
        </w:rPr>
        <w:t>则</w:t>
      </w:r>
      <w:r>
        <w:rPr>
          <w:rFonts w:hint="eastAsia" w:ascii="楷体_GB2312" w:hAnsi="楷体_GB2312" w:eastAsia="楷体_GB2312" w:cs="楷体_GB2312"/>
          <w:sz w:val="28"/>
          <w:szCs w:val="28"/>
          <w:lang w:val="en-US" w:eastAsia="zh-CN"/>
        </w:rPr>
        <w:t xml:space="preserve"> </w:t>
      </w:r>
      <w:r>
        <w:rPr>
          <w:rFonts w:hint="eastAsia" w:ascii="楷体_GB2312" w:hAnsi="楷体_GB2312" w:eastAsia="楷体_GB2312" w:cs="楷体_GB2312"/>
          <w:sz w:val="28"/>
          <w:szCs w:val="28"/>
        </w:rPr>
        <w:t>的有关要求，遵循“预防为主，综合防治”的</w:t>
      </w:r>
      <w:r>
        <w:rPr>
          <w:rFonts w:hint="eastAsia" w:ascii="楷体_GB2312" w:hAnsi="楷体_GB2312" w:eastAsia="楷体_GB2312" w:cs="楷体_GB2312"/>
          <w:sz w:val="28"/>
          <w:szCs w:val="28"/>
          <w:lang w:val="en-US" w:eastAsia="zh-CN"/>
        </w:rPr>
        <w:t>防治原则</w:t>
      </w: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val="en-US" w:eastAsia="zh-CN"/>
        </w:rPr>
        <w:t>综合应用物理防治、生物防治和化学防治等防控措施进行病虫害防治。按照</w:t>
      </w:r>
      <w:r>
        <w:rPr>
          <w:rFonts w:hint="default" w:ascii="楷体_GB2312" w:hAnsi="楷体_GB2312" w:eastAsia="楷体_GB2312" w:cs="楷体_GB2312"/>
          <w:sz w:val="28"/>
          <w:szCs w:val="28"/>
          <w:lang w:val="en-US" w:eastAsia="zh-CN"/>
        </w:rPr>
        <w:t>NY/T 1997 除草剂安全使用技术规范</w:t>
      </w:r>
      <w:r>
        <w:rPr>
          <w:rFonts w:hint="eastAsia" w:ascii="楷体_GB2312" w:hAnsi="楷体_GB2312" w:eastAsia="楷体_GB2312" w:cs="楷体_GB2312"/>
          <w:sz w:val="28"/>
          <w:szCs w:val="28"/>
          <w:lang w:val="en-US" w:eastAsia="zh-CN"/>
        </w:rPr>
        <w:t xml:space="preserve"> </w:t>
      </w:r>
      <w:r>
        <w:rPr>
          <w:rFonts w:hint="default" w:ascii="楷体_GB2312" w:hAnsi="楷体_GB2312" w:eastAsia="楷体_GB2312" w:cs="楷体_GB2312"/>
          <w:sz w:val="28"/>
          <w:szCs w:val="28"/>
          <w:lang w:val="en-US" w:eastAsia="zh-CN"/>
        </w:rPr>
        <w:t>通则</w:t>
      </w:r>
      <w:r>
        <w:rPr>
          <w:rFonts w:hint="eastAsia" w:ascii="楷体_GB2312" w:hAnsi="楷体_GB2312" w:eastAsia="楷体_GB2312" w:cs="楷体_GB2312"/>
          <w:sz w:val="28"/>
          <w:szCs w:val="28"/>
          <w:lang w:val="en-US" w:eastAsia="zh-CN"/>
        </w:rPr>
        <w:t xml:space="preserve"> 的有关要求，进行草害防治。</w:t>
      </w:r>
    </w:p>
    <w:p w14:paraId="470A6C85">
      <w:pPr>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(2)</w:t>
      </w:r>
      <w:r>
        <w:rPr>
          <w:rFonts w:hint="eastAsia" w:ascii="楷体_GB2312" w:hAnsi="楷体_GB2312" w:eastAsia="楷体_GB2312" w:cs="楷体_GB2312"/>
          <w:sz w:val="28"/>
          <w:szCs w:val="28"/>
          <w:lang w:val="en-US" w:eastAsia="zh-CN"/>
        </w:rPr>
        <w:t xml:space="preserve"> </w:t>
      </w:r>
      <w:r>
        <w:rPr>
          <w:rFonts w:hint="eastAsia" w:ascii="楷体_GB2312" w:hAnsi="楷体_GB2312" w:eastAsia="楷体_GB2312" w:cs="楷体_GB2312"/>
          <w:sz w:val="28"/>
          <w:szCs w:val="28"/>
        </w:rPr>
        <w:t>验证方法:20</w:t>
      </w:r>
      <w:r>
        <w:rPr>
          <w:rFonts w:hint="eastAsia" w:ascii="楷体_GB2312" w:hAnsi="楷体_GB2312" w:eastAsia="楷体_GB2312" w:cs="楷体_GB2312"/>
          <w:sz w:val="28"/>
          <w:szCs w:val="28"/>
          <w:lang w:val="en-US" w:eastAsia="zh-CN"/>
        </w:rPr>
        <w:t>19</w:t>
      </w:r>
      <w:r>
        <w:rPr>
          <w:rFonts w:hint="eastAsia" w:ascii="楷体_GB2312" w:hAnsi="楷体_GB2312" w:eastAsia="楷体_GB2312" w:cs="楷体_GB2312"/>
          <w:sz w:val="28"/>
          <w:szCs w:val="28"/>
        </w:rPr>
        <w:t>-20</w:t>
      </w:r>
      <w:r>
        <w:rPr>
          <w:rFonts w:hint="eastAsia" w:ascii="楷体_GB2312" w:hAnsi="楷体_GB2312" w:eastAsia="楷体_GB2312" w:cs="楷体_GB2312"/>
          <w:sz w:val="28"/>
          <w:szCs w:val="28"/>
          <w:lang w:val="en-US" w:eastAsia="zh-CN"/>
        </w:rPr>
        <w:t>23</w:t>
      </w:r>
      <w:r>
        <w:rPr>
          <w:rFonts w:hint="eastAsia" w:ascii="楷体_GB2312" w:hAnsi="楷体_GB2312" w:eastAsia="楷体_GB2312" w:cs="楷体_GB2312"/>
          <w:sz w:val="28"/>
          <w:szCs w:val="28"/>
        </w:rPr>
        <w:t>年</w:t>
      </w: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rPr>
        <w:t>连续</w:t>
      </w:r>
      <w:r>
        <w:rPr>
          <w:rFonts w:hint="eastAsia" w:ascii="楷体_GB2312" w:hAnsi="楷体_GB2312" w:eastAsia="楷体_GB2312" w:cs="楷体_GB2312"/>
          <w:sz w:val="28"/>
          <w:szCs w:val="28"/>
          <w:lang w:val="en-US" w:eastAsia="zh-CN"/>
        </w:rPr>
        <w:t>五</w:t>
      </w:r>
      <w:r>
        <w:rPr>
          <w:rFonts w:hint="eastAsia" w:ascii="楷体_GB2312" w:hAnsi="楷体_GB2312" w:eastAsia="楷体_GB2312" w:cs="楷体_GB2312"/>
          <w:sz w:val="28"/>
          <w:szCs w:val="28"/>
        </w:rPr>
        <w:t>年</w:t>
      </w: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rPr>
        <w:t>在</w:t>
      </w:r>
      <w:r>
        <w:rPr>
          <w:rFonts w:hint="eastAsia" w:ascii="楷体_GB2312" w:hAnsi="楷体_GB2312" w:eastAsia="楷体_GB2312" w:cs="楷体_GB2312"/>
          <w:sz w:val="28"/>
          <w:szCs w:val="28"/>
          <w:lang w:val="en-US" w:eastAsia="zh-CN"/>
        </w:rPr>
        <w:t>寿阳县宗艾镇、</w:t>
      </w:r>
      <w:r>
        <w:rPr>
          <w:rFonts w:hint="eastAsia" w:eastAsia="楷体_GB2312"/>
          <w:sz w:val="28"/>
          <w:szCs w:val="28"/>
          <w:lang w:val="en-US" w:eastAsia="zh-CN"/>
        </w:rPr>
        <w:t>忻州市繁峙县</w:t>
      </w:r>
      <w:r>
        <w:rPr>
          <w:rFonts w:hint="eastAsia" w:eastAsia="楷体_GB2312"/>
          <w:sz w:val="28"/>
          <w:szCs w:val="28"/>
          <w:lang w:val="en-US" w:eastAsia="zh-CN"/>
        </w:rPr>
        <w:fldChar w:fldCharType="begin"/>
      </w:r>
      <w:r>
        <w:rPr>
          <w:rFonts w:hint="eastAsia" w:eastAsia="楷体_GB2312"/>
          <w:sz w:val="28"/>
          <w:szCs w:val="28"/>
          <w:lang w:val="en-US" w:eastAsia="zh-CN"/>
        </w:rPr>
        <w:instrText xml:space="preserve"> HYPERLINK "https://baike.so.com/doc/5768777-5981547.html" \t "https://baike.so.com/doc/_blank" </w:instrText>
      </w:r>
      <w:r>
        <w:rPr>
          <w:rFonts w:hint="eastAsia" w:eastAsia="楷体_GB2312"/>
          <w:sz w:val="28"/>
          <w:szCs w:val="28"/>
          <w:lang w:val="en-US" w:eastAsia="zh-CN"/>
        </w:rPr>
        <w:fldChar w:fldCharType="separate"/>
      </w:r>
      <w:r>
        <w:rPr>
          <w:rFonts w:hint="default" w:eastAsia="楷体_GB2312"/>
          <w:sz w:val="28"/>
          <w:szCs w:val="28"/>
          <w:lang w:val="en-US" w:eastAsia="zh-CN"/>
        </w:rPr>
        <w:t>砂河镇</w:t>
      </w:r>
      <w:r>
        <w:rPr>
          <w:rFonts w:hint="default" w:eastAsia="楷体_GB2312"/>
          <w:sz w:val="28"/>
          <w:szCs w:val="28"/>
          <w:lang w:val="en-US" w:eastAsia="zh-CN"/>
        </w:rPr>
        <w:fldChar w:fldCharType="end"/>
      </w:r>
      <w:r>
        <w:rPr>
          <w:rFonts w:hint="eastAsia" w:eastAsia="楷体_GB2312"/>
          <w:sz w:val="28"/>
          <w:szCs w:val="28"/>
          <w:lang w:val="en-US" w:eastAsia="zh-CN"/>
        </w:rPr>
        <w:t>、吕梁市兴县蔡家会镇，</w:t>
      </w:r>
      <w:r>
        <w:rPr>
          <w:rFonts w:hint="eastAsia" w:ascii="楷体_GB2312" w:hAnsi="楷体_GB2312" w:eastAsia="楷体_GB2312" w:cs="楷体_GB2312"/>
          <w:sz w:val="28"/>
          <w:szCs w:val="28"/>
        </w:rPr>
        <w:t>按照此标准</w:t>
      </w:r>
      <w:r>
        <w:rPr>
          <w:rFonts w:hint="eastAsia" w:ascii="楷体_GB2312" w:hAnsi="楷体_GB2312" w:eastAsia="楷体_GB2312" w:cs="楷体_GB2312"/>
          <w:sz w:val="28"/>
          <w:szCs w:val="28"/>
          <w:lang w:val="en-US" w:eastAsia="zh-CN"/>
        </w:rPr>
        <w:t>的技术内容，验证防治措施及药剂的应</w:t>
      </w:r>
      <w:bookmarkStart w:id="9" w:name="_GoBack"/>
      <w:bookmarkEnd w:id="9"/>
      <w:r>
        <w:rPr>
          <w:rFonts w:hint="eastAsia" w:ascii="楷体_GB2312" w:hAnsi="楷体_GB2312" w:eastAsia="楷体_GB2312" w:cs="楷体_GB2312"/>
          <w:sz w:val="28"/>
          <w:szCs w:val="28"/>
          <w:lang w:val="en-US" w:eastAsia="zh-CN"/>
        </w:rPr>
        <w:t>用效果，形成</w:t>
      </w:r>
      <w:r>
        <w:rPr>
          <w:rFonts w:hint="eastAsia" w:ascii="楷体_GB2312" w:hAnsi="楷体_GB2312" w:eastAsia="楷体_GB2312" w:cs="楷体_GB2312"/>
          <w:sz w:val="28"/>
          <w:szCs w:val="28"/>
        </w:rPr>
        <w:t>病虫</w:t>
      </w:r>
      <w:r>
        <w:rPr>
          <w:rFonts w:hint="eastAsia" w:ascii="楷体_GB2312" w:hAnsi="楷体_GB2312" w:eastAsia="楷体_GB2312" w:cs="楷体_GB2312"/>
          <w:sz w:val="28"/>
          <w:szCs w:val="28"/>
          <w:lang w:val="en-US" w:eastAsia="zh-CN"/>
        </w:rPr>
        <w:t>草</w:t>
      </w:r>
      <w:r>
        <w:rPr>
          <w:rFonts w:hint="eastAsia" w:ascii="楷体_GB2312" w:hAnsi="楷体_GB2312" w:eastAsia="楷体_GB2312" w:cs="楷体_GB2312"/>
          <w:sz w:val="28"/>
          <w:szCs w:val="28"/>
        </w:rPr>
        <w:t>害防治</w:t>
      </w:r>
      <w:r>
        <w:rPr>
          <w:rFonts w:hint="eastAsia" w:ascii="楷体_GB2312" w:hAnsi="楷体_GB2312" w:eastAsia="楷体_GB2312" w:cs="楷体_GB2312"/>
          <w:sz w:val="28"/>
          <w:szCs w:val="28"/>
          <w:lang w:val="en-US" w:eastAsia="zh-CN"/>
        </w:rPr>
        <w:t>方法</w:t>
      </w:r>
      <w:r>
        <w:rPr>
          <w:rFonts w:hint="eastAsia" w:ascii="楷体_GB2312" w:hAnsi="楷体_GB2312" w:eastAsia="楷体_GB2312" w:cs="楷体_GB2312"/>
          <w:sz w:val="28"/>
          <w:szCs w:val="28"/>
        </w:rPr>
        <w:t>。</w:t>
      </w:r>
    </w:p>
    <w:p w14:paraId="62F4C3AD">
      <w:pPr>
        <w:jc w:val="left"/>
        <w:rPr>
          <w:rFonts w:hint="eastAsia" w:ascii="楷体_GB2312" w:hAnsi="楷体_GB2312" w:eastAsia="楷体_GB2312" w:cs="楷体_GB2312"/>
          <w:b/>
          <w:bCs/>
          <w:sz w:val="32"/>
          <w:szCs w:val="32"/>
          <w:highlight w:val="none"/>
          <w:lang w:eastAsia="zh-CN"/>
        </w:rPr>
      </w:pPr>
      <w:r>
        <w:rPr>
          <w:rFonts w:hint="eastAsia" w:ascii="楷体_GB2312" w:hAnsi="楷体_GB2312" w:eastAsia="楷体_GB2312" w:cs="楷体_GB2312"/>
          <w:b/>
          <w:bCs/>
          <w:sz w:val="32"/>
          <w:szCs w:val="32"/>
          <w:highlight w:val="none"/>
        </w:rPr>
        <w:t>（四）预期经济效果</w:t>
      </w:r>
    </w:p>
    <w:p w14:paraId="3351327E">
      <w:pPr>
        <w:ind w:firstLine="560" w:firstLineChars="200"/>
        <w:rPr>
          <w:rFonts w:hint="default" w:ascii="楷体_GB2312" w:hAnsi="楷体_GB2312" w:eastAsia="楷体_GB2312" w:cs="楷体_GB2312"/>
          <w:sz w:val="28"/>
          <w:szCs w:val="28"/>
          <w:lang w:val="en-US" w:eastAsia="zh-CN"/>
        </w:rPr>
      </w:pP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val="en-US" w:eastAsia="zh-CN"/>
        </w:rPr>
        <w:t>旱地谷豆条带种植</w:t>
      </w:r>
      <w:r>
        <w:rPr>
          <w:rFonts w:hint="eastAsia" w:ascii="楷体_GB2312" w:hAnsi="楷体_GB2312" w:eastAsia="楷体_GB2312" w:cs="楷体_GB2312"/>
          <w:sz w:val="28"/>
          <w:szCs w:val="28"/>
        </w:rPr>
        <w:t>技术规程》的发布与实施，可以规范</w:t>
      </w:r>
      <w:r>
        <w:rPr>
          <w:rFonts w:hint="eastAsia" w:ascii="楷体_GB2312" w:hAnsi="楷体_GB2312" w:eastAsia="楷体_GB2312" w:cs="楷体_GB2312"/>
          <w:sz w:val="28"/>
          <w:szCs w:val="28"/>
          <w:lang w:val="en-US" w:eastAsia="zh-CN"/>
        </w:rPr>
        <w:t>旱地谷豆条带种植</w:t>
      </w:r>
      <w:r>
        <w:rPr>
          <w:rFonts w:hint="eastAsia" w:ascii="楷体_GB2312" w:hAnsi="楷体_GB2312" w:eastAsia="楷体_GB2312" w:cs="楷体_GB2312"/>
          <w:sz w:val="28"/>
          <w:szCs w:val="28"/>
        </w:rPr>
        <w:t>技术</w:t>
      </w:r>
      <w:r>
        <w:rPr>
          <w:rFonts w:hint="eastAsia" w:ascii="楷体_GB2312" w:hAnsi="楷体_GB2312" w:eastAsia="楷体_GB2312" w:cs="楷体_GB2312"/>
          <w:sz w:val="28"/>
          <w:szCs w:val="28"/>
          <w:lang w:val="en-US" w:eastAsia="zh-CN"/>
        </w:rPr>
        <w:t>的</w:t>
      </w:r>
      <w:r>
        <w:rPr>
          <w:rFonts w:hint="eastAsia" w:ascii="楷体_GB2312" w:hAnsi="楷体_GB2312" w:eastAsia="楷体_GB2312" w:cs="楷体_GB2312"/>
          <w:sz w:val="28"/>
          <w:szCs w:val="28"/>
        </w:rPr>
        <w:t>产地环境、</w:t>
      </w:r>
      <w:r>
        <w:rPr>
          <w:rFonts w:hint="eastAsia" w:ascii="楷体_GB2312" w:hAnsi="楷体_GB2312" w:eastAsia="楷体_GB2312" w:cs="楷体_GB2312"/>
          <w:sz w:val="28"/>
          <w:szCs w:val="28"/>
          <w:lang w:val="en-US" w:eastAsia="zh-CN"/>
        </w:rPr>
        <w:t>品种选择</w:t>
      </w: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val="en-US" w:eastAsia="zh-CN"/>
        </w:rPr>
        <w:t>播前准备、</w:t>
      </w:r>
      <w:r>
        <w:rPr>
          <w:rFonts w:hint="eastAsia" w:ascii="楷体_GB2312" w:hAnsi="楷体_GB2312" w:eastAsia="楷体_GB2312" w:cs="楷体_GB2312"/>
          <w:sz w:val="28"/>
          <w:szCs w:val="28"/>
        </w:rPr>
        <w:t>播种、田间管理、</w:t>
      </w:r>
      <w:r>
        <w:rPr>
          <w:rFonts w:hint="eastAsia" w:ascii="楷体_GB2312" w:hAnsi="楷体_GB2312" w:eastAsia="楷体_GB2312" w:cs="楷体_GB2312"/>
          <w:sz w:val="28"/>
          <w:szCs w:val="28"/>
          <w:lang w:val="en-US" w:eastAsia="zh-CN"/>
        </w:rPr>
        <w:t>病虫害防治与</w:t>
      </w:r>
      <w:r>
        <w:rPr>
          <w:rFonts w:hint="eastAsia" w:ascii="楷体_GB2312" w:hAnsi="楷体_GB2312" w:eastAsia="楷体_GB2312" w:cs="楷体_GB2312"/>
          <w:sz w:val="28"/>
          <w:szCs w:val="28"/>
        </w:rPr>
        <w:t>收获，提升</w:t>
      </w:r>
      <w:r>
        <w:rPr>
          <w:rFonts w:hint="eastAsia" w:ascii="楷体_GB2312" w:hAnsi="楷体_GB2312" w:eastAsia="楷体_GB2312" w:cs="楷体_GB2312"/>
          <w:sz w:val="28"/>
          <w:szCs w:val="28"/>
          <w:lang w:val="en-US" w:eastAsia="zh-CN"/>
        </w:rPr>
        <w:t>谷豆产量和品质</w:t>
      </w:r>
      <w:r>
        <w:rPr>
          <w:rFonts w:hint="eastAsia" w:ascii="楷体_GB2312" w:hAnsi="楷体_GB2312" w:eastAsia="楷体_GB2312" w:cs="楷体_GB2312"/>
          <w:sz w:val="28"/>
          <w:szCs w:val="28"/>
        </w:rPr>
        <w:t>，提高</w:t>
      </w:r>
      <w:r>
        <w:rPr>
          <w:rFonts w:hint="eastAsia" w:ascii="楷体_GB2312" w:hAnsi="楷体_GB2312" w:eastAsia="楷体_GB2312" w:cs="楷体_GB2312"/>
          <w:sz w:val="28"/>
          <w:szCs w:val="28"/>
          <w:lang w:val="en-US" w:eastAsia="zh-CN"/>
        </w:rPr>
        <w:t>谷豆</w:t>
      </w:r>
      <w:r>
        <w:rPr>
          <w:rFonts w:hint="eastAsia" w:ascii="楷体_GB2312" w:hAnsi="楷体_GB2312" w:eastAsia="楷体_GB2312" w:cs="楷体_GB2312"/>
          <w:sz w:val="28"/>
          <w:szCs w:val="28"/>
        </w:rPr>
        <w:t>的市场竞争力，</w:t>
      </w:r>
      <w:r>
        <w:rPr>
          <w:rFonts w:hint="eastAsia" w:ascii="楷体_GB2312" w:hAnsi="楷体_GB2312" w:eastAsia="楷体_GB2312" w:cs="楷体_GB2312"/>
          <w:sz w:val="28"/>
          <w:szCs w:val="28"/>
          <w:lang w:val="en-US" w:eastAsia="zh-CN"/>
        </w:rPr>
        <w:t>减少因连作障碍而导致的土传病害，从而减少化肥、农药的使用量，达到节本增效目标，</w:t>
      </w:r>
      <w:r>
        <w:rPr>
          <w:rFonts w:hint="eastAsia" w:ascii="楷体_GB2312" w:hAnsi="楷体_GB2312" w:eastAsia="楷体_GB2312" w:cs="楷体_GB2312"/>
          <w:sz w:val="28"/>
          <w:szCs w:val="28"/>
        </w:rPr>
        <w:t>显著提升</w:t>
      </w:r>
      <w:r>
        <w:rPr>
          <w:rFonts w:hint="eastAsia" w:ascii="楷体_GB2312" w:hAnsi="楷体_GB2312" w:eastAsia="楷体_GB2312" w:cs="楷体_GB2312"/>
          <w:sz w:val="28"/>
          <w:szCs w:val="28"/>
          <w:lang w:val="en-US" w:eastAsia="zh-CN"/>
        </w:rPr>
        <w:t>谷豆种植</w:t>
      </w:r>
      <w:r>
        <w:rPr>
          <w:rFonts w:hint="eastAsia" w:ascii="楷体_GB2312" w:hAnsi="楷体_GB2312" w:eastAsia="楷体_GB2312" w:cs="楷体_GB2312"/>
          <w:sz w:val="28"/>
          <w:szCs w:val="28"/>
        </w:rPr>
        <w:t>的效益水平，增加农民收入</w:t>
      </w: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lang w:val="en-US" w:eastAsia="zh-CN"/>
        </w:rPr>
        <w:t>预期经济效果显著。</w:t>
      </w:r>
    </w:p>
    <w:p w14:paraId="1893047D">
      <w:pPr>
        <w:spacing w:line="360" w:lineRule="auto"/>
        <w:rPr>
          <w:b/>
          <w:sz w:val="32"/>
          <w:szCs w:val="32"/>
        </w:rPr>
      </w:pPr>
      <w:r>
        <w:rPr>
          <w:rFonts w:hint="eastAsia"/>
          <w:b/>
          <w:sz w:val="32"/>
          <w:szCs w:val="32"/>
        </w:rPr>
        <w:t>六、重大意见分歧的处理依据和结果</w:t>
      </w:r>
    </w:p>
    <w:p w14:paraId="795ABECF">
      <w:pPr>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202</w:t>
      </w:r>
      <w:r>
        <w:rPr>
          <w:rFonts w:hint="eastAsia" w:ascii="楷体_GB2312" w:hAnsi="楷体_GB2312" w:eastAsia="楷体_GB2312" w:cs="楷体_GB2312"/>
          <w:sz w:val="28"/>
          <w:szCs w:val="28"/>
          <w:lang w:val="en-US" w:eastAsia="zh-CN"/>
        </w:rPr>
        <w:t>4</w:t>
      </w:r>
      <w:r>
        <w:rPr>
          <w:rFonts w:hint="eastAsia" w:ascii="楷体_GB2312" w:hAnsi="楷体_GB2312" w:eastAsia="楷体_GB2312" w:cs="楷体_GB2312"/>
          <w:sz w:val="28"/>
          <w:szCs w:val="28"/>
        </w:rPr>
        <w:t>年</w:t>
      </w:r>
      <w:r>
        <w:rPr>
          <w:rFonts w:hint="eastAsia" w:ascii="楷体_GB2312" w:hAnsi="楷体_GB2312" w:eastAsia="楷体_GB2312" w:cs="楷体_GB2312"/>
          <w:sz w:val="28"/>
          <w:szCs w:val="28"/>
          <w:lang w:val="en-US" w:eastAsia="zh-CN"/>
        </w:rPr>
        <w:t>3</w:t>
      </w:r>
      <w:r>
        <w:rPr>
          <w:rFonts w:hint="eastAsia" w:ascii="楷体_GB2312" w:hAnsi="楷体_GB2312" w:eastAsia="楷体_GB2312" w:cs="楷体_GB2312"/>
          <w:sz w:val="28"/>
          <w:szCs w:val="28"/>
        </w:rPr>
        <w:t>月，发送“征求意见稿”的单位数：5个</w:t>
      </w:r>
      <w:r>
        <w:rPr>
          <w:rFonts w:hint="eastAsia" w:ascii="楷体_GB2312" w:hAnsi="楷体_GB2312" w:eastAsia="楷体_GB2312" w:cs="楷体_GB2312"/>
          <w:sz w:val="28"/>
          <w:szCs w:val="28"/>
          <w:lang w:val="en-US" w:eastAsia="zh-CN"/>
        </w:rPr>
        <w:t>。</w:t>
      </w:r>
      <w:r>
        <w:rPr>
          <w:rFonts w:hint="eastAsia" w:ascii="楷体_GB2312" w:hAnsi="楷体_GB2312" w:eastAsia="楷体_GB2312" w:cs="楷体_GB2312"/>
          <w:sz w:val="28"/>
          <w:szCs w:val="28"/>
        </w:rPr>
        <w:t>202</w:t>
      </w:r>
      <w:r>
        <w:rPr>
          <w:rFonts w:hint="eastAsia" w:ascii="楷体_GB2312" w:hAnsi="楷体_GB2312" w:eastAsia="楷体_GB2312" w:cs="楷体_GB2312"/>
          <w:sz w:val="28"/>
          <w:szCs w:val="28"/>
          <w:lang w:val="en-US" w:eastAsia="zh-CN"/>
        </w:rPr>
        <w:t>4</w:t>
      </w:r>
      <w:r>
        <w:rPr>
          <w:rFonts w:hint="eastAsia" w:ascii="楷体_GB2312" w:hAnsi="楷体_GB2312" w:eastAsia="楷体_GB2312" w:cs="楷体_GB2312"/>
          <w:sz w:val="28"/>
          <w:szCs w:val="28"/>
        </w:rPr>
        <w:t>年</w:t>
      </w:r>
      <w:r>
        <w:rPr>
          <w:rFonts w:hint="eastAsia" w:ascii="楷体_GB2312" w:hAnsi="楷体_GB2312" w:eastAsia="楷体_GB2312" w:cs="楷体_GB2312"/>
          <w:sz w:val="28"/>
          <w:szCs w:val="28"/>
          <w:lang w:val="en-US" w:eastAsia="zh-CN"/>
        </w:rPr>
        <w:t>5</w:t>
      </w:r>
      <w:r>
        <w:rPr>
          <w:rFonts w:hint="eastAsia" w:ascii="楷体_GB2312" w:hAnsi="楷体_GB2312" w:eastAsia="楷体_GB2312" w:cs="楷体_GB2312"/>
          <w:sz w:val="28"/>
          <w:szCs w:val="28"/>
        </w:rPr>
        <w:t>月，收到“征求意见稿”后，回函的单位数：5个；收到“征求意见稿”后，回函并提出意见的单位数：5个；没有回函的单位数：0个。发送“征求意见稿”的单位有山西农业大学谷子研究所、山西华顿什贴农业开发有限公司、山西鑫腾达农业科技有限公司等科研单位和企业，起草组对收集到的意见进行分类、归纳、整理，经研究，采纳了其中</w:t>
      </w:r>
      <w:r>
        <w:rPr>
          <w:rFonts w:ascii="楷体_GB2312" w:hAnsi="楷体_GB2312" w:eastAsia="楷体_GB2312" w:cs="楷体_GB2312"/>
          <w:sz w:val="28"/>
          <w:szCs w:val="28"/>
        </w:rPr>
        <w:t>7</w:t>
      </w:r>
      <w:r>
        <w:rPr>
          <w:rFonts w:hint="eastAsia" w:ascii="楷体_GB2312" w:hAnsi="楷体_GB2312" w:eastAsia="楷体_GB2312" w:cs="楷体_GB2312"/>
          <w:sz w:val="28"/>
          <w:szCs w:val="28"/>
        </w:rPr>
        <w:t>条建议。</w:t>
      </w:r>
    </w:p>
    <w:p w14:paraId="07448ED1">
      <w:pPr>
        <w:spacing w:line="360" w:lineRule="auto"/>
        <w:rPr>
          <w:rFonts w:ascii="宋体" w:hAnsi="宋体"/>
          <w:b/>
          <w:sz w:val="32"/>
          <w:szCs w:val="32"/>
        </w:rPr>
      </w:pPr>
      <w:r>
        <w:rPr>
          <w:rFonts w:hint="eastAsia"/>
          <w:b/>
          <w:sz w:val="32"/>
          <w:szCs w:val="32"/>
        </w:rPr>
        <w:t>七、</w:t>
      </w:r>
      <w:r>
        <w:rPr>
          <w:rFonts w:hint="eastAsia" w:ascii="宋体" w:hAnsi="宋体"/>
          <w:b/>
          <w:sz w:val="32"/>
          <w:szCs w:val="32"/>
        </w:rPr>
        <w:t>采标情况</w:t>
      </w:r>
    </w:p>
    <w:p w14:paraId="38576F76">
      <w:pPr>
        <w:ind w:firstLine="560" w:firstLineChars="200"/>
        <w:rPr>
          <w:rFonts w:hint="default" w:ascii="楷体_GB2312" w:hAnsi="楷体_GB2312" w:eastAsia="楷体_GB2312" w:cs="楷体_GB2312"/>
          <w:sz w:val="28"/>
          <w:szCs w:val="28"/>
          <w:lang w:val="en-US" w:eastAsia="zh-CN"/>
        </w:rPr>
      </w:pPr>
      <w:r>
        <w:rPr>
          <w:rFonts w:hint="eastAsia" w:ascii="楷体_GB2312" w:hAnsi="楷体_GB2312" w:eastAsia="楷体_GB2312" w:cs="楷体_GB2312"/>
          <w:sz w:val="28"/>
          <w:szCs w:val="28"/>
        </w:rPr>
        <w:t>本标准严格遵循</w:t>
      </w:r>
      <w:r>
        <w:rPr>
          <w:rFonts w:hint="eastAsia" w:eastAsia="楷体_GB2312"/>
          <w:sz w:val="28"/>
          <w:szCs w:val="28"/>
        </w:rPr>
        <w:t>GB 4404.1、粮食作物种子 第1部分：禾谷类</w:t>
      </w:r>
      <w:r>
        <w:rPr>
          <w:rFonts w:hint="eastAsia" w:eastAsia="楷体_GB2312"/>
          <w:sz w:val="28"/>
          <w:szCs w:val="28"/>
          <w:lang w:val="en-US" w:eastAsia="zh-CN"/>
        </w:rPr>
        <w:t>等国家标准和</w:t>
      </w:r>
      <w:r>
        <w:rPr>
          <w:rFonts w:hint="eastAsia" w:eastAsia="楷体_GB2312"/>
          <w:sz w:val="28"/>
          <w:szCs w:val="28"/>
        </w:rPr>
        <w:t>NY/T 496</w:t>
      </w:r>
      <w:r>
        <w:rPr>
          <w:rFonts w:hint="eastAsia" w:eastAsia="楷体_GB2312"/>
          <w:sz w:val="28"/>
          <w:szCs w:val="28"/>
          <w:lang w:val="en-US" w:eastAsia="zh-CN"/>
        </w:rPr>
        <w:t xml:space="preserve">  </w:t>
      </w:r>
      <w:r>
        <w:rPr>
          <w:rFonts w:hint="eastAsia" w:eastAsia="楷体_GB2312"/>
          <w:sz w:val="28"/>
          <w:szCs w:val="28"/>
        </w:rPr>
        <w:t>肥料合理使用准则</w:t>
      </w:r>
      <w:r>
        <w:rPr>
          <w:rFonts w:hint="eastAsia" w:eastAsia="楷体_GB2312"/>
          <w:sz w:val="28"/>
          <w:szCs w:val="28"/>
          <w:lang w:val="en-US" w:eastAsia="zh-CN"/>
        </w:rPr>
        <w:t xml:space="preserve"> 通则等行业标准</w:t>
      </w:r>
      <w:r>
        <w:rPr>
          <w:rFonts w:hint="eastAsia" w:ascii="楷体_GB2312" w:hAnsi="楷体_GB2312" w:eastAsia="楷体_GB2312" w:cs="楷体_GB2312"/>
          <w:sz w:val="28"/>
          <w:szCs w:val="28"/>
        </w:rPr>
        <w:t>在农作物生产、农药使用方面的相关规定</w:t>
      </w:r>
      <w:r>
        <w:rPr>
          <w:rFonts w:hint="eastAsia" w:ascii="楷体_GB2312" w:hAnsi="楷体_GB2312" w:eastAsia="楷体_GB2312" w:cs="楷体_GB2312"/>
          <w:sz w:val="28"/>
          <w:szCs w:val="28"/>
          <w:lang w:eastAsia="zh-CN"/>
        </w:rPr>
        <w:t>，这些标准与本标准部分内容有一定的关系。</w:t>
      </w:r>
      <w:r>
        <w:rPr>
          <w:rFonts w:hint="eastAsia" w:ascii="楷体_GB2312" w:hAnsi="楷体_GB2312" w:eastAsia="楷体_GB2312" w:cs="楷体_GB2312"/>
          <w:sz w:val="28"/>
          <w:szCs w:val="28"/>
          <w:lang w:val="en-US" w:eastAsia="zh-CN"/>
        </w:rPr>
        <w:t>本标准的核心内容未采用国内外的标准。</w:t>
      </w:r>
    </w:p>
    <w:p w14:paraId="1149F0B4">
      <w:pPr>
        <w:pStyle w:val="4"/>
        <w:spacing w:line="560" w:lineRule="exact"/>
        <w:ind w:firstLine="0" w:firstLineChars="0"/>
        <w:rPr>
          <w:rFonts w:hint="eastAsia" w:ascii="宋体" w:hAnsi="宋体" w:eastAsia="宋体"/>
          <w:b/>
          <w:sz w:val="32"/>
          <w:szCs w:val="32"/>
          <w:highlight w:val="green"/>
          <w:lang w:val="en-US" w:eastAsia="zh-CN"/>
        </w:rPr>
      </w:pPr>
      <w:r>
        <w:rPr>
          <w:rFonts w:hint="eastAsia"/>
          <w:b/>
          <w:sz w:val="32"/>
          <w:szCs w:val="32"/>
        </w:rPr>
        <w:t>八、作为推荐性或强制性标准的建</w:t>
      </w:r>
      <w:r>
        <w:rPr>
          <w:rFonts w:hint="eastAsia" w:ascii="宋体" w:hAnsi="宋体"/>
          <w:b/>
          <w:sz w:val="32"/>
          <w:szCs w:val="32"/>
        </w:rPr>
        <w:t>议</w:t>
      </w:r>
    </w:p>
    <w:p w14:paraId="1506B22D">
      <w:pPr>
        <w:pStyle w:val="4"/>
        <w:spacing w:line="360" w:lineRule="auto"/>
        <w:ind w:firstLine="560"/>
        <w:rPr>
          <w:rFonts w:ascii="楷体_GB2312" w:hAnsi="楷体_GB2312" w:eastAsia="楷体_GB2312" w:cs="楷体_GB2312"/>
          <w:sz w:val="28"/>
          <w:szCs w:val="28"/>
        </w:rPr>
      </w:pPr>
      <w:r>
        <w:rPr>
          <w:rFonts w:hint="eastAsia" w:ascii="楷体_GB2312" w:hAnsi="楷体_GB2312" w:eastAsia="楷体_GB2312" w:cs="楷体_GB2312"/>
          <w:sz w:val="28"/>
          <w:szCs w:val="28"/>
        </w:rPr>
        <w:t>建议本标准为推荐性标准。</w:t>
      </w:r>
    </w:p>
    <w:p w14:paraId="365B7B36">
      <w:pPr>
        <w:pStyle w:val="4"/>
        <w:spacing w:line="560" w:lineRule="exact"/>
        <w:ind w:firstLine="0" w:firstLineChars="0"/>
        <w:rPr>
          <w:b/>
          <w:sz w:val="32"/>
          <w:szCs w:val="32"/>
        </w:rPr>
      </w:pPr>
      <w:r>
        <w:rPr>
          <w:rFonts w:hint="eastAsia"/>
          <w:b/>
          <w:sz w:val="32"/>
          <w:szCs w:val="32"/>
        </w:rPr>
        <w:t>九、实施标准的措施建议</w:t>
      </w:r>
    </w:p>
    <w:p w14:paraId="6CAF2E3F">
      <w:pPr>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我们首先与山西省农业农村厅、山西省科学技术厅、山西农业大学，各县、市（区）农技推广部门进行联系，争取得到涉农部门和高校的政策和资金支持。其次将通过媒体和网络平台进行公告，充分做好宣传工作，组织相关基层农技推广部门的技术人员以及广大企业代表、农户进行培训学习及现场技术指导，详解</w:t>
      </w:r>
      <w:r>
        <w:rPr>
          <w:rFonts w:hint="eastAsia" w:ascii="楷体_GB2312" w:hAnsi="楷体_GB2312" w:eastAsia="楷体_GB2312" w:cs="楷体_GB2312"/>
          <w:sz w:val="28"/>
          <w:szCs w:val="28"/>
          <w:lang w:eastAsia="zh-CN"/>
        </w:rPr>
        <w:t>旱地谷豆条带种植技术规程</w:t>
      </w:r>
      <w:r>
        <w:rPr>
          <w:rFonts w:hint="eastAsia" w:ascii="楷体_GB2312" w:hAnsi="楷体_GB2312" w:eastAsia="楷体_GB2312" w:cs="楷体_GB2312"/>
          <w:sz w:val="28"/>
          <w:szCs w:val="28"/>
        </w:rPr>
        <w:t>的关键点，更新管理观念，调动生产经营主体和农民采用新技术的主观能动性，使其尽快了解、熟悉、掌握本标准的内容和要求，提高当地谷子、大豆生产水平，促进农业可持续发展。</w:t>
      </w:r>
    </w:p>
    <w:p w14:paraId="14533010">
      <w:pPr>
        <w:widowControl/>
        <w:jc w:val="left"/>
        <w:rPr>
          <w:rFonts w:ascii="楷体_GB2312" w:hAnsi="楷体_GB2312" w:eastAsia="楷体_GB2312" w:cs="楷体_GB2312"/>
          <w:sz w:val="28"/>
          <w:szCs w:val="28"/>
        </w:rPr>
      </w:pPr>
    </w:p>
    <w:p w14:paraId="2BFF8C94">
      <w:pPr>
        <w:ind w:firstLine="643" w:firstLineChars="200"/>
        <w:rPr>
          <w:b/>
          <w:sz w:val="32"/>
          <w:szCs w:val="32"/>
        </w:rPr>
        <w:sectPr>
          <w:footerReference r:id="rId8" w:type="default"/>
          <w:pgSz w:w="11906" w:h="16838"/>
          <w:pgMar w:top="1440" w:right="1800" w:bottom="1440" w:left="1800" w:header="851" w:footer="992" w:gutter="0"/>
          <w:pgNumType w:start="1"/>
          <w:cols w:space="425" w:num="1"/>
          <w:docGrid w:type="lines" w:linePitch="312" w:charSpace="0"/>
        </w:sectPr>
      </w:pPr>
    </w:p>
    <w:p w14:paraId="780BD1FC">
      <w:pPr>
        <w:pStyle w:val="4"/>
        <w:keepNext w:val="0"/>
        <w:keepLines w:val="0"/>
        <w:pageBreakBefore w:val="0"/>
        <w:widowControl w:val="0"/>
        <w:kinsoku/>
        <w:wordWrap/>
        <w:overflowPunct/>
        <w:topLinePunct w:val="0"/>
        <w:autoSpaceDE/>
        <w:autoSpaceDN/>
        <w:bidi w:val="0"/>
        <w:adjustRightInd/>
        <w:snapToGrid/>
        <w:spacing w:after="156" w:afterLines="50" w:line="360" w:lineRule="auto"/>
        <w:ind w:firstLine="0" w:firstLineChars="0"/>
        <w:jc w:val="center"/>
        <w:textAlignment w:val="auto"/>
        <w:rPr>
          <w:sz w:val="28"/>
        </w:rPr>
      </w:pPr>
      <w:bookmarkStart w:id="8" w:name="_Hlk136931767"/>
      <w:r>
        <w:rPr>
          <w:rFonts w:hint="eastAsia" w:ascii="宋体" w:hAnsi="宋体"/>
          <w:b/>
          <w:color w:val="000000"/>
          <w:sz w:val="36"/>
          <w:szCs w:val="36"/>
        </w:rPr>
        <w:t>《</w:t>
      </w:r>
      <w:r>
        <w:rPr>
          <w:rFonts w:hint="eastAsia" w:ascii="宋体" w:hAnsi="宋体"/>
          <w:b/>
          <w:color w:val="000000"/>
          <w:sz w:val="36"/>
          <w:szCs w:val="36"/>
          <w:lang w:eastAsia="zh-CN"/>
        </w:rPr>
        <w:t>旱地谷豆条带种植技术规程</w:t>
      </w:r>
      <w:r>
        <w:rPr>
          <w:rFonts w:hint="eastAsia" w:ascii="宋体" w:hAnsi="宋体"/>
          <w:b/>
          <w:color w:val="000000"/>
          <w:sz w:val="36"/>
          <w:szCs w:val="36"/>
        </w:rPr>
        <w:t>》征求意见汇总处理</w:t>
      </w:r>
      <w:r>
        <w:rPr>
          <w:rFonts w:hint="eastAsia" w:ascii="宋体" w:hAnsi="宋体"/>
          <w:b/>
          <w:sz w:val="36"/>
          <w:szCs w:val="36"/>
        </w:rPr>
        <w:t>表</w:t>
      </w:r>
    </w:p>
    <w:p w14:paraId="36882490">
      <w:pPr>
        <w:snapToGrid w:val="0"/>
        <w:spacing w:line="360" w:lineRule="auto"/>
        <w:rPr>
          <w:sz w:val="28"/>
          <w:szCs w:val="24"/>
        </w:rPr>
      </w:pPr>
      <w:r>
        <w:rPr>
          <w:rFonts w:hint="eastAsia"/>
          <w:sz w:val="28"/>
          <w:szCs w:val="24"/>
        </w:rPr>
        <w:t>起草单位：山西农业大学、山西省农产品质量安全中心</w:t>
      </w:r>
      <w:r>
        <w:rPr>
          <w:sz w:val="28"/>
          <w:szCs w:val="24"/>
        </w:rPr>
        <w:t xml:space="preserve"> </w:t>
      </w:r>
      <w:r>
        <w:rPr>
          <w:rFonts w:hint="eastAsia"/>
          <w:sz w:val="28"/>
          <w:szCs w:val="24"/>
        </w:rPr>
        <w:t xml:space="preserve"> </w:t>
      </w:r>
      <w:r>
        <w:rPr>
          <w:sz w:val="28"/>
          <w:szCs w:val="24"/>
        </w:rPr>
        <w:t xml:space="preserve">                      </w:t>
      </w:r>
      <w:r>
        <w:rPr>
          <w:rFonts w:hint="eastAsia"/>
          <w:sz w:val="28"/>
          <w:szCs w:val="24"/>
        </w:rPr>
        <w:t>承办人： 卢成达</w:t>
      </w:r>
    </w:p>
    <w:p w14:paraId="69694DAE">
      <w:pPr>
        <w:snapToGrid w:val="0"/>
        <w:spacing w:line="360" w:lineRule="auto"/>
        <w:rPr>
          <w:sz w:val="28"/>
        </w:rPr>
      </w:pPr>
      <w:r>
        <w:rPr>
          <w:rFonts w:hint="eastAsia"/>
          <w:sz w:val="28"/>
          <w:szCs w:val="24"/>
        </w:rPr>
        <w:t>联系电话：</w:t>
      </w:r>
      <w:r>
        <w:rPr>
          <w:sz w:val="28"/>
          <w:szCs w:val="24"/>
        </w:rPr>
        <w:t>13111079993</w:t>
      </w:r>
      <w:r>
        <w:rPr>
          <w:rFonts w:hint="eastAsia"/>
          <w:sz w:val="28"/>
          <w:szCs w:val="24"/>
        </w:rPr>
        <w:t xml:space="preserve"> </w:t>
      </w:r>
      <w:r>
        <w:rPr>
          <w:rFonts w:hint="eastAsia"/>
          <w:sz w:val="28"/>
        </w:rPr>
        <w:t xml:space="preserve">                                </w:t>
      </w:r>
      <w:r>
        <w:rPr>
          <w:sz w:val="28"/>
        </w:rPr>
        <w:t xml:space="preserve">                  </w:t>
      </w:r>
      <w:r>
        <w:rPr>
          <w:rFonts w:hint="eastAsia"/>
          <w:sz w:val="28"/>
        </w:rPr>
        <w:t>填写时间：202</w:t>
      </w:r>
      <w:r>
        <w:rPr>
          <w:rFonts w:hint="eastAsia"/>
          <w:sz w:val="28"/>
          <w:lang w:val="en-US" w:eastAsia="zh-CN"/>
        </w:rPr>
        <w:t>4</w:t>
      </w:r>
      <w:r>
        <w:rPr>
          <w:rFonts w:hint="eastAsia"/>
          <w:sz w:val="28"/>
        </w:rPr>
        <w:t xml:space="preserve"> 年5月</w:t>
      </w:r>
      <w:r>
        <w:rPr>
          <w:rFonts w:hint="eastAsia"/>
          <w:sz w:val="28"/>
          <w:lang w:val="en-US" w:eastAsia="zh-CN"/>
        </w:rPr>
        <w:t>1</w:t>
      </w:r>
      <w:r>
        <w:rPr>
          <w:sz w:val="28"/>
        </w:rPr>
        <w:t>5</w:t>
      </w:r>
      <w:r>
        <w:rPr>
          <w:rFonts w:hint="eastAsia"/>
          <w:sz w:val="28"/>
        </w:rPr>
        <w:t xml:space="preserve">日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92"/>
        <w:gridCol w:w="3660"/>
        <w:gridCol w:w="2220"/>
        <w:gridCol w:w="825"/>
        <w:gridCol w:w="5193"/>
      </w:tblGrid>
      <w:tr w14:paraId="105E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540" w:type="dxa"/>
            <w:vAlign w:val="center"/>
          </w:tcPr>
          <w:p w14:paraId="0FA40833">
            <w:pPr>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1292" w:type="dxa"/>
            <w:vAlign w:val="center"/>
          </w:tcPr>
          <w:p w14:paraId="79015CCC">
            <w:pPr>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标准</w:t>
            </w:r>
          </w:p>
          <w:p w14:paraId="40C314D3">
            <w:pPr>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章条编号</w:t>
            </w:r>
          </w:p>
        </w:tc>
        <w:tc>
          <w:tcPr>
            <w:tcW w:w="3660" w:type="dxa"/>
            <w:vAlign w:val="center"/>
          </w:tcPr>
          <w:p w14:paraId="7A68DE32">
            <w:pPr>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意见内容</w:t>
            </w:r>
          </w:p>
        </w:tc>
        <w:tc>
          <w:tcPr>
            <w:tcW w:w="2220" w:type="dxa"/>
            <w:vAlign w:val="center"/>
          </w:tcPr>
          <w:p w14:paraId="27157D4E">
            <w:pPr>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提出单位</w:t>
            </w:r>
          </w:p>
        </w:tc>
        <w:tc>
          <w:tcPr>
            <w:tcW w:w="825" w:type="dxa"/>
            <w:vAlign w:val="center"/>
          </w:tcPr>
          <w:p w14:paraId="64592D2B">
            <w:pPr>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处理意见</w:t>
            </w:r>
          </w:p>
        </w:tc>
        <w:tc>
          <w:tcPr>
            <w:tcW w:w="5193" w:type="dxa"/>
            <w:vAlign w:val="center"/>
          </w:tcPr>
          <w:p w14:paraId="1B30BA0F">
            <w:pPr>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意见处理说明</w:t>
            </w:r>
          </w:p>
        </w:tc>
      </w:tr>
      <w:tr w14:paraId="6155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540" w:type="dxa"/>
            <w:vAlign w:val="center"/>
          </w:tcPr>
          <w:p w14:paraId="05BC0542">
            <w:pPr>
              <w:adjustRightInd w:val="0"/>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292" w:type="dxa"/>
            <w:vAlign w:val="center"/>
          </w:tcPr>
          <w:p w14:paraId="5CB5FCC7">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5</w:t>
            </w:r>
          </w:p>
        </w:tc>
        <w:tc>
          <w:tcPr>
            <w:tcW w:w="3660" w:type="dxa"/>
            <w:vAlign w:val="center"/>
          </w:tcPr>
          <w:p w14:paraId="2F1B3CBA">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晋谷系列的品种，生态适应性较好，生产中应用率比较高。</w:t>
            </w:r>
          </w:p>
        </w:tc>
        <w:tc>
          <w:tcPr>
            <w:tcW w:w="2220" w:type="dxa"/>
            <w:vAlign w:val="center"/>
          </w:tcPr>
          <w:p w14:paraId="22C0EB30">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山西农业大学</w:t>
            </w:r>
          </w:p>
          <w:p w14:paraId="1245ABCC">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谷子研究所</w:t>
            </w:r>
          </w:p>
        </w:tc>
        <w:tc>
          <w:tcPr>
            <w:tcW w:w="825" w:type="dxa"/>
            <w:vAlign w:val="center"/>
          </w:tcPr>
          <w:p w14:paraId="3269E378">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采纳</w:t>
            </w:r>
          </w:p>
        </w:tc>
        <w:tc>
          <w:tcPr>
            <w:tcW w:w="5193" w:type="dxa"/>
            <w:vAlign w:val="center"/>
          </w:tcPr>
          <w:p w14:paraId="384295D1">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修改为：“谷子选用株型紧凑、耐密抗倒、抗旱性强、宜机收的高产品种。”</w:t>
            </w:r>
          </w:p>
        </w:tc>
      </w:tr>
      <w:tr w14:paraId="33C88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540" w:type="dxa"/>
            <w:vAlign w:val="center"/>
          </w:tcPr>
          <w:p w14:paraId="7B13C39A">
            <w:pPr>
              <w:adjustRightInd w:val="0"/>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292" w:type="dxa"/>
            <w:vAlign w:val="center"/>
          </w:tcPr>
          <w:p w14:paraId="6DCAD2BD">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5</w:t>
            </w:r>
          </w:p>
        </w:tc>
        <w:tc>
          <w:tcPr>
            <w:tcW w:w="3660" w:type="dxa"/>
            <w:vAlign w:val="center"/>
          </w:tcPr>
          <w:p w14:paraId="0FA0F843">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耐阴性的品种更适合条带种植，植株下部可正常开花结实。</w:t>
            </w:r>
          </w:p>
        </w:tc>
        <w:tc>
          <w:tcPr>
            <w:tcW w:w="2220" w:type="dxa"/>
            <w:vAlign w:val="center"/>
          </w:tcPr>
          <w:p w14:paraId="245B4213">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山西华顿什贴农业开发有限公司</w:t>
            </w:r>
          </w:p>
        </w:tc>
        <w:tc>
          <w:tcPr>
            <w:tcW w:w="825" w:type="dxa"/>
            <w:vAlign w:val="center"/>
          </w:tcPr>
          <w:p w14:paraId="2A072681">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采纳</w:t>
            </w:r>
          </w:p>
        </w:tc>
        <w:tc>
          <w:tcPr>
            <w:tcW w:w="5193" w:type="dxa"/>
            <w:vAlign w:val="center"/>
          </w:tcPr>
          <w:p w14:paraId="704598D4">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 xml:space="preserve">修改为：“大豆选用早熟、高荚位、耐阴、抗倒、宜机收品种。” </w:t>
            </w:r>
          </w:p>
        </w:tc>
      </w:tr>
      <w:tr w14:paraId="52D9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40" w:type="dxa"/>
            <w:vAlign w:val="center"/>
          </w:tcPr>
          <w:p w14:paraId="2144D726">
            <w:pPr>
              <w:adjustRightInd w:val="0"/>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1292" w:type="dxa"/>
            <w:vAlign w:val="center"/>
          </w:tcPr>
          <w:p w14:paraId="5C2EDDC8">
            <w:pPr>
              <w:adjustRightInd w:val="0"/>
              <w:snapToGrid w:val="0"/>
              <w:jc w:val="center"/>
              <w:rPr>
                <w:rFonts w:hint="default"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6.1</w:t>
            </w:r>
          </w:p>
        </w:tc>
        <w:tc>
          <w:tcPr>
            <w:tcW w:w="3660" w:type="dxa"/>
            <w:vAlign w:val="center"/>
          </w:tcPr>
          <w:p w14:paraId="074AF79C">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default" w:cs="Times New Roman" w:asciiTheme="minorEastAsia" w:hAnsiTheme="minorEastAsia" w:eastAsiaTheme="minorEastAsia"/>
                <w:kern w:val="2"/>
                <w:sz w:val="24"/>
                <w:szCs w:val="24"/>
                <w:lang w:val="en-US" w:eastAsia="zh-CN" w:bidi="ar-SA"/>
              </w:rPr>
              <w:t>前茬作物收获后</w:t>
            </w:r>
            <w:r>
              <w:rPr>
                <w:rFonts w:hint="eastAsia" w:cs="Times New Roman" w:asciiTheme="minorEastAsia" w:hAnsiTheme="minorEastAsia" w:eastAsiaTheme="minorEastAsia"/>
                <w:kern w:val="2"/>
                <w:sz w:val="24"/>
                <w:szCs w:val="24"/>
                <w:lang w:val="en-US" w:eastAsia="zh-CN" w:bidi="ar-SA"/>
              </w:rPr>
              <w:t>，</w:t>
            </w:r>
            <w:r>
              <w:rPr>
                <w:rFonts w:hint="default" w:cs="Times New Roman" w:asciiTheme="minorEastAsia" w:hAnsiTheme="minorEastAsia" w:eastAsiaTheme="minorEastAsia"/>
                <w:kern w:val="2"/>
                <w:sz w:val="24"/>
                <w:szCs w:val="24"/>
                <w:lang w:val="en-US" w:eastAsia="zh-CN" w:bidi="ar-SA"/>
              </w:rPr>
              <w:t>开展深耕或深松作业，耕深</w:t>
            </w:r>
            <w:r>
              <w:rPr>
                <w:rFonts w:hint="eastAsia" w:cs="Times New Roman" w:asciiTheme="minorEastAsia" w:hAnsiTheme="minorEastAsia" w:eastAsiaTheme="minorEastAsia"/>
                <w:kern w:val="2"/>
                <w:sz w:val="24"/>
                <w:szCs w:val="24"/>
                <w:lang w:val="en-US" w:eastAsia="zh-CN" w:bidi="ar-SA"/>
              </w:rPr>
              <w:t>20</w:t>
            </w:r>
            <w:r>
              <w:rPr>
                <w:rFonts w:hint="default" w:cs="Times New Roman" w:asciiTheme="minorEastAsia" w:hAnsiTheme="minorEastAsia" w:eastAsiaTheme="minorEastAsia"/>
                <w:kern w:val="2"/>
                <w:sz w:val="24"/>
                <w:szCs w:val="24"/>
                <w:lang w:val="en-US" w:eastAsia="zh-CN" w:bidi="ar-SA"/>
              </w:rPr>
              <w:t>cm</w:t>
            </w:r>
            <w:r>
              <w:rPr>
                <w:rFonts w:hint="eastAsia" w:cs="Times New Roman" w:asciiTheme="minorEastAsia" w:hAnsiTheme="minorEastAsia" w:eastAsiaTheme="minorEastAsia"/>
                <w:kern w:val="2"/>
                <w:sz w:val="24"/>
                <w:szCs w:val="24"/>
                <w:lang w:val="en-US" w:eastAsia="zh-CN" w:bidi="ar-SA"/>
              </w:rPr>
              <w:t>。</w:t>
            </w:r>
          </w:p>
        </w:tc>
        <w:tc>
          <w:tcPr>
            <w:tcW w:w="2220" w:type="dxa"/>
            <w:vAlign w:val="center"/>
          </w:tcPr>
          <w:p w14:paraId="73037674">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山西华顿什贴农业开发有限公司</w:t>
            </w:r>
          </w:p>
        </w:tc>
        <w:tc>
          <w:tcPr>
            <w:tcW w:w="825" w:type="dxa"/>
            <w:vAlign w:val="center"/>
          </w:tcPr>
          <w:p w14:paraId="07D0C490">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采纳</w:t>
            </w:r>
          </w:p>
        </w:tc>
        <w:tc>
          <w:tcPr>
            <w:tcW w:w="5193" w:type="dxa"/>
            <w:vAlign w:val="center"/>
          </w:tcPr>
          <w:p w14:paraId="2A6F3A33">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修改为：“</w:t>
            </w:r>
            <w:r>
              <w:rPr>
                <w:rFonts w:hint="default" w:cs="Times New Roman" w:asciiTheme="minorEastAsia" w:hAnsiTheme="minorEastAsia" w:eastAsiaTheme="minorEastAsia"/>
                <w:kern w:val="2"/>
                <w:sz w:val="24"/>
                <w:szCs w:val="24"/>
                <w:lang w:val="en-US" w:eastAsia="zh-CN" w:bidi="ar-SA"/>
              </w:rPr>
              <w:t>前茬作物收获后</w:t>
            </w:r>
            <w:r>
              <w:rPr>
                <w:rFonts w:hint="eastAsia" w:cs="Times New Roman" w:asciiTheme="minorEastAsia" w:hAnsiTheme="minorEastAsia" w:eastAsiaTheme="minorEastAsia"/>
                <w:kern w:val="2"/>
                <w:sz w:val="24"/>
                <w:szCs w:val="24"/>
                <w:lang w:val="en-US" w:eastAsia="zh-CN" w:bidi="ar-SA"/>
              </w:rPr>
              <w:t>，</w:t>
            </w:r>
            <w:r>
              <w:rPr>
                <w:rFonts w:hint="default" w:cs="Times New Roman" w:asciiTheme="minorEastAsia" w:hAnsiTheme="minorEastAsia" w:eastAsiaTheme="minorEastAsia"/>
                <w:kern w:val="2"/>
                <w:sz w:val="24"/>
                <w:szCs w:val="24"/>
                <w:lang w:val="en-US" w:eastAsia="zh-CN" w:bidi="ar-SA"/>
              </w:rPr>
              <w:t>开展深耕或深松作业，耕深25</w:t>
            </w:r>
            <w:r>
              <w:rPr>
                <w:rFonts w:hint="eastAsia" w:cs="Times New Roman" w:asciiTheme="minorEastAsia" w:hAnsiTheme="minorEastAsia" w:eastAsiaTheme="minorEastAsia"/>
                <w:kern w:val="2"/>
                <w:sz w:val="24"/>
                <w:szCs w:val="24"/>
                <w:lang w:val="en-US" w:eastAsia="zh-CN" w:bidi="ar-SA"/>
              </w:rPr>
              <w:t xml:space="preserve"> </w:t>
            </w:r>
            <w:r>
              <w:rPr>
                <w:rFonts w:hint="default" w:cs="Times New Roman" w:asciiTheme="minorEastAsia" w:hAnsiTheme="minorEastAsia" w:eastAsiaTheme="minorEastAsia"/>
                <w:kern w:val="2"/>
                <w:sz w:val="24"/>
                <w:szCs w:val="24"/>
                <w:lang w:val="en-US" w:eastAsia="zh-CN" w:bidi="ar-SA"/>
              </w:rPr>
              <w:t>cm以上。</w:t>
            </w:r>
            <w:r>
              <w:rPr>
                <w:rFonts w:hint="eastAsia" w:cs="Times New Roman" w:asciiTheme="minorEastAsia" w:hAnsiTheme="minorEastAsia" w:eastAsiaTheme="minorEastAsia"/>
                <w:kern w:val="2"/>
                <w:sz w:val="24"/>
                <w:szCs w:val="24"/>
                <w:lang w:val="en-US" w:eastAsia="zh-CN" w:bidi="ar-SA"/>
              </w:rPr>
              <w:t>”</w:t>
            </w:r>
          </w:p>
        </w:tc>
      </w:tr>
      <w:tr w14:paraId="6955D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40" w:type="dxa"/>
            <w:tcBorders>
              <w:top w:val="single" w:color="auto" w:sz="4" w:space="0"/>
              <w:left w:val="single" w:color="auto" w:sz="4" w:space="0"/>
              <w:bottom w:val="single" w:color="auto" w:sz="4" w:space="0"/>
              <w:right w:val="single" w:color="auto" w:sz="4" w:space="0"/>
            </w:tcBorders>
            <w:vAlign w:val="center"/>
          </w:tcPr>
          <w:p w14:paraId="2BE2364D">
            <w:pPr>
              <w:adjustRightInd w:val="0"/>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1292" w:type="dxa"/>
            <w:tcBorders>
              <w:top w:val="single" w:color="auto" w:sz="4" w:space="0"/>
              <w:left w:val="single" w:color="auto" w:sz="4" w:space="0"/>
              <w:bottom w:val="single" w:color="auto" w:sz="4" w:space="0"/>
              <w:right w:val="single" w:color="auto" w:sz="4" w:space="0"/>
            </w:tcBorders>
            <w:vAlign w:val="center"/>
          </w:tcPr>
          <w:p w14:paraId="2B581905">
            <w:pPr>
              <w:adjustRightInd w:val="0"/>
              <w:snapToGrid w:val="0"/>
              <w:jc w:val="center"/>
              <w:rPr>
                <w:rFonts w:hint="default"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6.3</w:t>
            </w:r>
          </w:p>
        </w:tc>
        <w:tc>
          <w:tcPr>
            <w:tcW w:w="3660" w:type="dxa"/>
            <w:tcBorders>
              <w:top w:val="single" w:color="auto" w:sz="4" w:space="0"/>
              <w:left w:val="single" w:color="auto" w:sz="4" w:space="0"/>
              <w:bottom w:val="single" w:color="auto" w:sz="4" w:space="0"/>
              <w:right w:val="single" w:color="auto" w:sz="4" w:space="0"/>
            </w:tcBorders>
            <w:vAlign w:val="center"/>
          </w:tcPr>
          <w:p w14:paraId="303C4082">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播种前，进行种子拌种，防治土传病害。</w:t>
            </w:r>
          </w:p>
        </w:tc>
        <w:tc>
          <w:tcPr>
            <w:tcW w:w="2220" w:type="dxa"/>
            <w:tcBorders>
              <w:top w:val="single" w:color="auto" w:sz="4" w:space="0"/>
              <w:left w:val="single" w:color="auto" w:sz="4" w:space="0"/>
              <w:bottom w:val="single" w:color="auto" w:sz="4" w:space="0"/>
              <w:right w:val="single" w:color="auto" w:sz="4" w:space="0"/>
            </w:tcBorders>
            <w:vAlign w:val="center"/>
          </w:tcPr>
          <w:p w14:paraId="244B4108">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太原市森海农业科技有限公司</w:t>
            </w:r>
          </w:p>
        </w:tc>
        <w:tc>
          <w:tcPr>
            <w:tcW w:w="825" w:type="dxa"/>
            <w:tcBorders>
              <w:top w:val="single" w:color="auto" w:sz="4" w:space="0"/>
              <w:left w:val="single" w:color="auto" w:sz="4" w:space="0"/>
              <w:bottom w:val="single" w:color="auto" w:sz="4" w:space="0"/>
              <w:right w:val="single" w:color="auto" w:sz="4" w:space="0"/>
            </w:tcBorders>
            <w:vAlign w:val="center"/>
          </w:tcPr>
          <w:p w14:paraId="351028F6">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采纳</w:t>
            </w:r>
          </w:p>
        </w:tc>
        <w:tc>
          <w:tcPr>
            <w:tcW w:w="5193" w:type="dxa"/>
            <w:tcBorders>
              <w:top w:val="single" w:color="auto" w:sz="4" w:space="0"/>
              <w:left w:val="single" w:color="auto" w:sz="4" w:space="0"/>
              <w:bottom w:val="single" w:color="auto" w:sz="4" w:space="0"/>
              <w:right w:val="single" w:color="auto" w:sz="4" w:space="0"/>
            </w:tcBorders>
            <w:vAlign w:val="center"/>
          </w:tcPr>
          <w:p w14:paraId="6969C41D">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修改为：“播种前，进行种子拌种，防治土传病害和地下害虫。”</w:t>
            </w:r>
          </w:p>
        </w:tc>
      </w:tr>
      <w:tr w14:paraId="2B70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40" w:type="dxa"/>
            <w:tcBorders>
              <w:top w:val="single" w:color="auto" w:sz="4" w:space="0"/>
              <w:left w:val="single" w:color="auto" w:sz="4" w:space="0"/>
              <w:bottom w:val="single" w:color="auto" w:sz="4" w:space="0"/>
              <w:right w:val="single" w:color="auto" w:sz="4" w:space="0"/>
            </w:tcBorders>
            <w:vAlign w:val="center"/>
          </w:tcPr>
          <w:p w14:paraId="44B74FCF">
            <w:pPr>
              <w:adjustRightInd w:val="0"/>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1292" w:type="dxa"/>
            <w:tcBorders>
              <w:top w:val="single" w:color="auto" w:sz="4" w:space="0"/>
              <w:left w:val="single" w:color="auto" w:sz="4" w:space="0"/>
              <w:bottom w:val="single" w:color="auto" w:sz="4" w:space="0"/>
              <w:right w:val="single" w:color="auto" w:sz="4" w:space="0"/>
            </w:tcBorders>
            <w:vAlign w:val="center"/>
          </w:tcPr>
          <w:p w14:paraId="104C5423">
            <w:pPr>
              <w:adjustRightInd w:val="0"/>
              <w:snapToGrid w:val="0"/>
              <w:jc w:val="center"/>
              <w:rPr>
                <w:rFonts w:hint="default"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8.2</w:t>
            </w:r>
          </w:p>
        </w:tc>
        <w:tc>
          <w:tcPr>
            <w:tcW w:w="3660" w:type="dxa"/>
            <w:tcBorders>
              <w:top w:val="single" w:color="auto" w:sz="4" w:space="0"/>
              <w:left w:val="single" w:color="auto" w:sz="4" w:space="0"/>
              <w:bottom w:val="single" w:color="auto" w:sz="4" w:space="0"/>
              <w:right w:val="single" w:color="auto" w:sz="4" w:space="0"/>
            </w:tcBorders>
            <w:vAlign w:val="center"/>
          </w:tcPr>
          <w:p w14:paraId="3EDCF450">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应用生长调节剂进行化控防倒、控旺。</w:t>
            </w:r>
          </w:p>
        </w:tc>
        <w:tc>
          <w:tcPr>
            <w:tcW w:w="2220" w:type="dxa"/>
            <w:tcBorders>
              <w:top w:val="single" w:color="auto" w:sz="4" w:space="0"/>
              <w:left w:val="single" w:color="auto" w:sz="4" w:space="0"/>
              <w:bottom w:val="single" w:color="auto" w:sz="4" w:space="0"/>
              <w:right w:val="single" w:color="auto" w:sz="4" w:space="0"/>
            </w:tcBorders>
            <w:vAlign w:val="center"/>
          </w:tcPr>
          <w:p w14:paraId="088C57C4">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山西鑫腾达农业科技有限公司</w:t>
            </w:r>
          </w:p>
        </w:tc>
        <w:tc>
          <w:tcPr>
            <w:tcW w:w="825" w:type="dxa"/>
            <w:tcBorders>
              <w:top w:val="single" w:color="auto" w:sz="4" w:space="0"/>
              <w:left w:val="single" w:color="auto" w:sz="4" w:space="0"/>
              <w:bottom w:val="single" w:color="auto" w:sz="4" w:space="0"/>
              <w:right w:val="single" w:color="auto" w:sz="4" w:space="0"/>
            </w:tcBorders>
            <w:vAlign w:val="center"/>
          </w:tcPr>
          <w:p w14:paraId="2F15BAA1">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采纳</w:t>
            </w:r>
          </w:p>
        </w:tc>
        <w:tc>
          <w:tcPr>
            <w:tcW w:w="5193" w:type="dxa"/>
            <w:tcBorders>
              <w:top w:val="single" w:color="auto" w:sz="4" w:space="0"/>
              <w:left w:val="single" w:color="auto" w:sz="4" w:space="0"/>
              <w:bottom w:val="single" w:color="auto" w:sz="4" w:space="0"/>
              <w:right w:val="single" w:color="auto" w:sz="4" w:space="0"/>
            </w:tcBorders>
            <w:vAlign w:val="center"/>
          </w:tcPr>
          <w:p w14:paraId="3ECF27CB">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修改为：“根据谷子大豆生长情况，可选用生长调节剂进行化学控旺。”</w:t>
            </w:r>
          </w:p>
        </w:tc>
      </w:tr>
      <w:tr w14:paraId="48836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40" w:type="dxa"/>
            <w:tcBorders>
              <w:top w:val="single" w:color="auto" w:sz="4" w:space="0"/>
              <w:left w:val="single" w:color="auto" w:sz="4" w:space="0"/>
              <w:bottom w:val="single" w:color="auto" w:sz="4" w:space="0"/>
              <w:right w:val="single" w:color="auto" w:sz="4" w:space="0"/>
            </w:tcBorders>
            <w:vAlign w:val="center"/>
          </w:tcPr>
          <w:p w14:paraId="62473E38">
            <w:pPr>
              <w:adjustRightInd w:val="0"/>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1292" w:type="dxa"/>
            <w:tcBorders>
              <w:top w:val="single" w:color="auto" w:sz="4" w:space="0"/>
              <w:left w:val="single" w:color="auto" w:sz="4" w:space="0"/>
              <w:bottom w:val="single" w:color="auto" w:sz="4" w:space="0"/>
              <w:right w:val="single" w:color="auto" w:sz="4" w:space="0"/>
            </w:tcBorders>
            <w:vAlign w:val="center"/>
          </w:tcPr>
          <w:p w14:paraId="5283CFED">
            <w:pPr>
              <w:adjustRightInd w:val="0"/>
              <w:snapToGrid w:val="0"/>
              <w:jc w:val="center"/>
              <w:rPr>
                <w:rFonts w:hint="default"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9.1.1</w:t>
            </w:r>
          </w:p>
        </w:tc>
        <w:tc>
          <w:tcPr>
            <w:tcW w:w="3660" w:type="dxa"/>
            <w:tcBorders>
              <w:top w:val="single" w:color="auto" w:sz="4" w:space="0"/>
              <w:left w:val="single" w:color="auto" w:sz="4" w:space="0"/>
              <w:bottom w:val="single" w:color="auto" w:sz="4" w:space="0"/>
              <w:right w:val="single" w:color="auto" w:sz="4" w:space="0"/>
            </w:tcBorders>
            <w:vAlign w:val="center"/>
          </w:tcPr>
          <w:p w14:paraId="15D8E32A">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大豆蚜虫用遮阳网趋避。</w:t>
            </w:r>
          </w:p>
        </w:tc>
        <w:tc>
          <w:tcPr>
            <w:tcW w:w="2220" w:type="dxa"/>
            <w:tcBorders>
              <w:top w:val="single" w:color="auto" w:sz="4" w:space="0"/>
              <w:left w:val="single" w:color="auto" w:sz="4" w:space="0"/>
              <w:bottom w:val="single" w:color="auto" w:sz="4" w:space="0"/>
              <w:right w:val="single" w:color="auto" w:sz="4" w:space="0"/>
            </w:tcBorders>
            <w:vAlign w:val="center"/>
          </w:tcPr>
          <w:p w14:paraId="68D80C1F">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太原市中农瑞丰农业科技有限公司</w:t>
            </w:r>
          </w:p>
        </w:tc>
        <w:tc>
          <w:tcPr>
            <w:tcW w:w="825" w:type="dxa"/>
            <w:tcBorders>
              <w:top w:val="single" w:color="auto" w:sz="4" w:space="0"/>
              <w:left w:val="single" w:color="auto" w:sz="4" w:space="0"/>
              <w:bottom w:val="single" w:color="auto" w:sz="4" w:space="0"/>
              <w:right w:val="single" w:color="auto" w:sz="4" w:space="0"/>
            </w:tcBorders>
            <w:vAlign w:val="center"/>
          </w:tcPr>
          <w:p w14:paraId="2B9E3E10">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采纳</w:t>
            </w:r>
          </w:p>
        </w:tc>
        <w:tc>
          <w:tcPr>
            <w:tcW w:w="5193" w:type="dxa"/>
            <w:tcBorders>
              <w:top w:val="single" w:color="auto" w:sz="4" w:space="0"/>
              <w:left w:val="single" w:color="auto" w:sz="4" w:space="0"/>
              <w:bottom w:val="single" w:color="auto" w:sz="4" w:space="0"/>
              <w:right w:val="single" w:color="auto" w:sz="4" w:space="0"/>
            </w:tcBorders>
            <w:vAlign w:val="center"/>
          </w:tcPr>
          <w:p w14:paraId="7EBA61B2">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修改为：“大豆蚜虫用银灰色遮阳网或塑料膜条悬挂趋避。”</w:t>
            </w:r>
          </w:p>
        </w:tc>
      </w:tr>
      <w:tr w14:paraId="6BADD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40" w:type="dxa"/>
            <w:tcBorders>
              <w:top w:val="single" w:color="auto" w:sz="4" w:space="0"/>
              <w:left w:val="single" w:color="auto" w:sz="4" w:space="0"/>
              <w:bottom w:val="single" w:color="auto" w:sz="4" w:space="0"/>
              <w:right w:val="single" w:color="auto" w:sz="4" w:space="0"/>
            </w:tcBorders>
            <w:vAlign w:val="center"/>
          </w:tcPr>
          <w:p w14:paraId="2728866B">
            <w:pPr>
              <w:adjustRightInd w:val="0"/>
              <w:snapToGrid w:val="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w:t>
            </w:r>
          </w:p>
        </w:tc>
        <w:tc>
          <w:tcPr>
            <w:tcW w:w="1292" w:type="dxa"/>
            <w:tcBorders>
              <w:top w:val="single" w:color="auto" w:sz="4" w:space="0"/>
              <w:left w:val="single" w:color="auto" w:sz="4" w:space="0"/>
              <w:bottom w:val="single" w:color="auto" w:sz="4" w:space="0"/>
              <w:right w:val="single" w:color="auto" w:sz="4" w:space="0"/>
            </w:tcBorders>
            <w:vAlign w:val="center"/>
          </w:tcPr>
          <w:p w14:paraId="479B7807">
            <w:pPr>
              <w:adjustRightInd w:val="0"/>
              <w:snapToGrid w:val="0"/>
              <w:jc w:val="center"/>
              <w:rPr>
                <w:rFonts w:hint="default"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10</w:t>
            </w:r>
          </w:p>
        </w:tc>
        <w:tc>
          <w:tcPr>
            <w:tcW w:w="3660" w:type="dxa"/>
            <w:tcBorders>
              <w:top w:val="single" w:color="auto" w:sz="4" w:space="0"/>
              <w:left w:val="single" w:color="auto" w:sz="4" w:space="0"/>
              <w:bottom w:val="single" w:color="auto" w:sz="4" w:space="0"/>
              <w:right w:val="single" w:color="auto" w:sz="4" w:space="0"/>
            </w:tcBorders>
            <w:vAlign w:val="center"/>
          </w:tcPr>
          <w:p w14:paraId="5AD9590B">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大豆植株大部分叶片脱落，荚壳干缩并呈现固有色泽，即可收获。</w:t>
            </w:r>
          </w:p>
        </w:tc>
        <w:tc>
          <w:tcPr>
            <w:tcW w:w="2220" w:type="dxa"/>
            <w:tcBorders>
              <w:top w:val="single" w:color="auto" w:sz="4" w:space="0"/>
              <w:left w:val="single" w:color="auto" w:sz="4" w:space="0"/>
              <w:bottom w:val="single" w:color="auto" w:sz="4" w:space="0"/>
              <w:right w:val="single" w:color="auto" w:sz="4" w:space="0"/>
            </w:tcBorders>
            <w:vAlign w:val="center"/>
          </w:tcPr>
          <w:p w14:paraId="2EB58422">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太原市中农瑞丰农业科技有限公司</w:t>
            </w:r>
          </w:p>
        </w:tc>
        <w:tc>
          <w:tcPr>
            <w:tcW w:w="825" w:type="dxa"/>
            <w:tcBorders>
              <w:top w:val="single" w:color="auto" w:sz="4" w:space="0"/>
              <w:left w:val="single" w:color="auto" w:sz="4" w:space="0"/>
              <w:bottom w:val="single" w:color="auto" w:sz="4" w:space="0"/>
              <w:right w:val="single" w:color="auto" w:sz="4" w:space="0"/>
            </w:tcBorders>
            <w:vAlign w:val="center"/>
          </w:tcPr>
          <w:p w14:paraId="6A9157AE">
            <w:pPr>
              <w:adjustRightInd w:val="0"/>
              <w:snapToGrid w:val="0"/>
              <w:jc w:val="center"/>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采纳</w:t>
            </w:r>
          </w:p>
        </w:tc>
        <w:tc>
          <w:tcPr>
            <w:tcW w:w="5193" w:type="dxa"/>
            <w:tcBorders>
              <w:top w:val="single" w:color="auto" w:sz="4" w:space="0"/>
              <w:left w:val="single" w:color="auto" w:sz="4" w:space="0"/>
              <w:bottom w:val="single" w:color="auto" w:sz="4" w:space="0"/>
              <w:right w:val="single" w:color="auto" w:sz="4" w:space="0"/>
            </w:tcBorders>
            <w:vAlign w:val="center"/>
          </w:tcPr>
          <w:p w14:paraId="4E4E4815">
            <w:pPr>
              <w:adjustRightInd w:val="0"/>
              <w:snapToGrid w:val="0"/>
              <w:jc w:val="left"/>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修改为：“大豆叶片全部脱落、籽粒变硬归圆，即可收获。”</w:t>
            </w:r>
          </w:p>
        </w:tc>
      </w:tr>
    </w:tbl>
    <w:p w14:paraId="7D206F5C">
      <w:pPr>
        <w:autoSpaceDE w:val="0"/>
        <w:autoSpaceDN w:val="0"/>
        <w:adjustRightInd w:val="0"/>
        <w:spacing w:line="264" w:lineRule="auto"/>
        <w:jc w:val="left"/>
        <w:rPr>
          <w:rFonts w:ascii="宋体" w:cs="宋体"/>
          <w:kern w:val="0"/>
          <w:sz w:val="24"/>
          <w:szCs w:val="24"/>
        </w:rPr>
      </w:pPr>
      <w:r>
        <w:rPr>
          <w:rFonts w:hint="eastAsia" w:ascii="宋体" w:cs="宋体"/>
          <w:kern w:val="0"/>
          <w:sz w:val="24"/>
          <w:szCs w:val="24"/>
        </w:rPr>
        <w:t>说明：</w:t>
      </w:r>
      <w:r>
        <w:rPr>
          <w:rFonts w:ascii="Calibri" w:hAnsi="Calibri" w:cs="Calibri"/>
          <w:kern w:val="0"/>
          <w:sz w:val="24"/>
          <w:szCs w:val="24"/>
        </w:rPr>
        <w:t>1</w:t>
      </w:r>
      <w:r>
        <w:rPr>
          <w:rFonts w:hint="eastAsia" w:ascii="宋体" w:cs="宋体"/>
          <w:kern w:val="0"/>
          <w:sz w:val="24"/>
          <w:szCs w:val="24"/>
        </w:rPr>
        <w:t>、针对明确回复无意见的单位，请在“意见内容”中注明无意见，在“提出单位”中列出无意见单位的名称。</w:t>
      </w:r>
    </w:p>
    <w:p w14:paraId="682755A4">
      <w:pPr>
        <w:autoSpaceDE w:val="0"/>
        <w:autoSpaceDN w:val="0"/>
        <w:adjustRightInd w:val="0"/>
        <w:spacing w:line="264" w:lineRule="auto"/>
        <w:ind w:left="210" w:leftChars="100" w:firstLine="480" w:firstLineChars="200"/>
        <w:jc w:val="left"/>
        <w:rPr>
          <w:rFonts w:ascii="宋体" w:cs="宋体"/>
          <w:kern w:val="0"/>
          <w:sz w:val="24"/>
          <w:szCs w:val="24"/>
        </w:rPr>
      </w:pPr>
      <w:r>
        <w:rPr>
          <w:rFonts w:ascii="Calibri" w:hAnsi="Calibri" w:cs="Calibri"/>
          <w:kern w:val="0"/>
          <w:sz w:val="24"/>
          <w:szCs w:val="24"/>
        </w:rPr>
        <w:t>2</w:t>
      </w:r>
      <w:r>
        <w:rPr>
          <w:rFonts w:hint="eastAsia" w:ascii="宋体" w:cs="宋体"/>
          <w:kern w:val="0"/>
          <w:sz w:val="24"/>
          <w:szCs w:val="24"/>
        </w:rPr>
        <w:t>、发送征求意见稿单位数</w:t>
      </w:r>
      <w:r>
        <w:rPr>
          <w:rFonts w:ascii="宋体" w:cs="宋体"/>
          <w:kern w:val="0"/>
          <w:sz w:val="24"/>
          <w:szCs w:val="24"/>
          <w:u w:val="single"/>
        </w:rPr>
        <w:t xml:space="preserve">  5  </w:t>
      </w:r>
      <w:r>
        <w:rPr>
          <w:rFonts w:hint="eastAsia" w:ascii="宋体" w:cs="宋体"/>
          <w:kern w:val="0"/>
          <w:sz w:val="24"/>
          <w:szCs w:val="24"/>
        </w:rPr>
        <w:t>个；回到征求意见稿回函的单位数</w:t>
      </w:r>
      <w:r>
        <w:rPr>
          <w:rFonts w:ascii="宋体" w:cs="宋体"/>
          <w:kern w:val="0"/>
          <w:sz w:val="24"/>
          <w:szCs w:val="24"/>
          <w:u w:val="single"/>
        </w:rPr>
        <w:t xml:space="preserve">  5  </w:t>
      </w:r>
      <w:r>
        <w:rPr>
          <w:rFonts w:hint="eastAsia" w:ascii="宋体" w:cs="宋体"/>
          <w:kern w:val="0"/>
          <w:sz w:val="24"/>
          <w:szCs w:val="24"/>
        </w:rPr>
        <w:t>个；收到征求意见稿并提出意见的单位数</w:t>
      </w:r>
      <w:r>
        <w:rPr>
          <w:rFonts w:ascii="宋体" w:cs="宋体"/>
          <w:kern w:val="0"/>
          <w:sz w:val="24"/>
          <w:szCs w:val="24"/>
          <w:u w:val="single"/>
        </w:rPr>
        <w:t xml:space="preserve">  5  </w:t>
      </w:r>
      <w:r>
        <w:rPr>
          <w:rFonts w:hint="eastAsia" w:ascii="宋体" w:cs="宋体"/>
          <w:kern w:val="0"/>
          <w:sz w:val="24"/>
          <w:szCs w:val="24"/>
        </w:rPr>
        <w:t>个；没有回函的单位数</w:t>
      </w:r>
      <w:r>
        <w:rPr>
          <w:rFonts w:hint="eastAsia" w:ascii="宋体" w:cs="宋体"/>
          <w:kern w:val="0"/>
          <w:sz w:val="24"/>
          <w:szCs w:val="24"/>
          <w:u w:val="single"/>
        </w:rPr>
        <w:t xml:space="preserve"> </w:t>
      </w:r>
      <w:r>
        <w:rPr>
          <w:rFonts w:ascii="宋体" w:cs="宋体"/>
          <w:kern w:val="0"/>
          <w:sz w:val="24"/>
          <w:szCs w:val="24"/>
          <w:u w:val="single"/>
        </w:rPr>
        <w:t xml:space="preserve"> 0  </w:t>
      </w:r>
      <w:r>
        <w:rPr>
          <w:rFonts w:hint="eastAsia" w:ascii="宋体" w:cs="宋体"/>
          <w:kern w:val="0"/>
          <w:sz w:val="24"/>
          <w:szCs w:val="24"/>
        </w:rPr>
        <w:t>个；共收到</w:t>
      </w:r>
      <w:r>
        <w:rPr>
          <w:rFonts w:ascii="宋体" w:cs="宋体"/>
          <w:kern w:val="0"/>
          <w:sz w:val="24"/>
          <w:szCs w:val="24"/>
          <w:u w:val="single"/>
        </w:rPr>
        <w:t xml:space="preserve">  7  </w:t>
      </w:r>
      <w:r>
        <w:rPr>
          <w:rFonts w:hint="eastAsia" w:ascii="宋体" w:cs="宋体"/>
          <w:kern w:val="0"/>
          <w:sz w:val="24"/>
          <w:szCs w:val="24"/>
        </w:rPr>
        <w:t>条意见，采纳</w:t>
      </w:r>
      <w:r>
        <w:rPr>
          <w:rFonts w:ascii="宋体" w:cs="宋体"/>
          <w:kern w:val="0"/>
          <w:sz w:val="24"/>
          <w:szCs w:val="24"/>
          <w:u w:val="single"/>
        </w:rPr>
        <w:t xml:space="preserve">  7  </w:t>
      </w:r>
      <w:r>
        <w:rPr>
          <w:rFonts w:hint="eastAsia" w:ascii="宋体" w:cs="宋体"/>
          <w:kern w:val="0"/>
          <w:sz w:val="24"/>
          <w:szCs w:val="24"/>
        </w:rPr>
        <w:t>条意见，部分采纳</w:t>
      </w:r>
      <w:r>
        <w:rPr>
          <w:rFonts w:ascii="宋体" w:cs="宋体"/>
          <w:kern w:val="0"/>
          <w:sz w:val="24"/>
          <w:szCs w:val="24"/>
          <w:u w:val="single"/>
        </w:rPr>
        <w:t xml:space="preserve">   0  </w:t>
      </w:r>
      <w:r>
        <w:rPr>
          <w:rFonts w:hint="eastAsia" w:ascii="宋体" w:cs="宋体"/>
          <w:kern w:val="0"/>
          <w:sz w:val="24"/>
          <w:szCs w:val="24"/>
        </w:rPr>
        <w:t>条意见，未采纳</w:t>
      </w:r>
      <w:r>
        <w:rPr>
          <w:rFonts w:ascii="宋体" w:cs="宋体"/>
          <w:kern w:val="0"/>
          <w:sz w:val="24"/>
          <w:szCs w:val="24"/>
          <w:u w:val="single"/>
        </w:rPr>
        <w:t xml:space="preserve">   0  </w:t>
      </w:r>
      <w:r>
        <w:rPr>
          <w:rFonts w:hint="eastAsia" w:ascii="宋体" w:cs="宋体"/>
          <w:kern w:val="0"/>
          <w:sz w:val="24"/>
          <w:szCs w:val="24"/>
        </w:rPr>
        <w:t>条意见。</w:t>
      </w:r>
      <w:bookmarkEnd w:id="8"/>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66916">
    <w:pPr>
      <w:pStyle w:val="5"/>
      <w:ind w:right="360"/>
      <w:rPr>
        <w:rStyle w:val="10"/>
      </w:rPr>
    </w:pPr>
  </w:p>
  <w:p w14:paraId="15E436ED">
    <w:pPr>
      <w:pStyle w:val="5"/>
      <w:jc w:val="center"/>
    </w:pPr>
    <w:r>
      <w:rPr>
        <w:rFonts w:hint="eastAsia"/>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ADF39">
    <w:pPr>
      <w:pStyle w:val="5"/>
      <w:framePr w:wrap="around" w:vAnchor="text" w:hAnchor="margin" w:xAlign="center" w:y="1"/>
      <w:rPr>
        <w:rStyle w:val="10"/>
      </w:rPr>
    </w:pPr>
    <w:r>
      <w:fldChar w:fldCharType="begin"/>
    </w:r>
    <w:r>
      <w:rPr>
        <w:rStyle w:val="10"/>
      </w:rPr>
      <w:instrText xml:space="preserve">PAGE  </w:instrText>
    </w:r>
    <w:r>
      <w:fldChar w:fldCharType="separate"/>
    </w:r>
    <w:r>
      <w:fldChar w:fldCharType="end"/>
    </w:r>
  </w:p>
  <w:p w14:paraId="5A185272">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765987"/>
      <w:docPartObj>
        <w:docPartGallery w:val="autotext"/>
      </w:docPartObj>
    </w:sdtPr>
    <w:sdtContent>
      <w:p w14:paraId="09B420FC">
        <w:pPr>
          <w:pStyle w:val="5"/>
          <w:jc w:val="center"/>
        </w:pPr>
      </w:p>
    </w:sdtContent>
  </w:sdt>
  <w:p w14:paraId="696A6624">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8865937"/>
      <w:docPartObj>
        <w:docPartGallery w:val="autotext"/>
      </w:docPartObj>
    </w:sdtPr>
    <w:sdtContent>
      <w:p w14:paraId="26065142">
        <w:pPr>
          <w:pStyle w:val="5"/>
          <w:jc w:val="center"/>
        </w:pPr>
        <w:r>
          <w:fldChar w:fldCharType="begin"/>
        </w:r>
        <w:r>
          <w:instrText xml:space="preserve">PAGE   \* MERGEFORMAT</w:instrText>
        </w:r>
        <w:r>
          <w:fldChar w:fldCharType="separate"/>
        </w:r>
        <w:r>
          <w:rPr>
            <w:lang w:val="zh-CN"/>
          </w:rPr>
          <w:t>2</w:t>
        </w:r>
        <w:r>
          <w:fldChar w:fldCharType="end"/>
        </w:r>
      </w:p>
    </w:sdtContent>
  </w:sdt>
  <w:p w14:paraId="3A7825B7">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D4082">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8CEA5">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8498A9"/>
    <w:multiLevelType w:val="singleLevel"/>
    <w:tmpl w:val="908498A9"/>
    <w:lvl w:ilvl="0" w:tentative="0">
      <w:start w:val="1"/>
      <w:numFmt w:val="decimal"/>
      <w:suff w:val="nothing"/>
      <w:lvlText w:val="%1、"/>
      <w:lvlJc w:val="left"/>
    </w:lvl>
  </w:abstractNum>
  <w:abstractNum w:abstractNumId="1">
    <w:nsid w:val="00000004"/>
    <w:multiLevelType w:val="multilevel"/>
    <w:tmpl w:val="00000004"/>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20"/>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428" w:firstLine="0"/>
      </w:pPr>
      <w:rPr>
        <w:rFonts w:hint="eastAsia" w:ascii="黑体" w:hAnsi="Times New Roman" w:eastAsia="黑体"/>
        <w:b w:val="0"/>
        <w:i w:val="0"/>
        <w:sz w:val="21"/>
      </w:rPr>
    </w:lvl>
    <w:lvl w:ilvl="3" w:tentative="0">
      <w:start w:val="1"/>
      <w:numFmt w:val="decimal"/>
      <w:suff w:val="nothing"/>
      <w:lvlText w:val="%1%2.%3.%4　"/>
      <w:lvlJc w:val="left"/>
      <w:pPr>
        <w:ind w:left="731"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6"/>
      <w:suff w:val="nothing"/>
      <w:lvlText w:val="%1%2　"/>
      <w:lvlJc w:val="left"/>
      <w:pPr>
        <w:ind w:left="0" w:firstLine="0"/>
      </w:pPr>
      <w:rPr>
        <w:rFonts w:hint="eastAsia" w:ascii="黑体" w:eastAsia="黑体"/>
        <w:b w:val="0"/>
        <w:i w:val="0"/>
        <w:sz w:val="21"/>
      </w:rPr>
    </w:lvl>
    <w:lvl w:ilvl="2" w:tentative="0">
      <w:start w:val="1"/>
      <w:numFmt w:val="decimal"/>
      <w:pStyle w:val="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8"/>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2ZTQ3MGU1NTQ1YmExZWJjNzZjMGM4YmE4MTBhZTYifQ=="/>
  </w:docVars>
  <w:rsids>
    <w:rsidRoot w:val="0081183E"/>
    <w:rsid w:val="000048F2"/>
    <w:rsid w:val="00020890"/>
    <w:rsid w:val="00032785"/>
    <w:rsid w:val="000341F4"/>
    <w:rsid w:val="00036B38"/>
    <w:rsid w:val="00065042"/>
    <w:rsid w:val="00073ED1"/>
    <w:rsid w:val="00093202"/>
    <w:rsid w:val="000B124A"/>
    <w:rsid w:val="000C159C"/>
    <w:rsid w:val="000D670F"/>
    <w:rsid w:val="000E1AE4"/>
    <w:rsid w:val="00101B43"/>
    <w:rsid w:val="00125B03"/>
    <w:rsid w:val="00152863"/>
    <w:rsid w:val="00163CAB"/>
    <w:rsid w:val="00164398"/>
    <w:rsid w:val="0016705A"/>
    <w:rsid w:val="00185A33"/>
    <w:rsid w:val="00193A08"/>
    <w:rsid w:val="001A4F08"/>
    <w:rsid w:val="001A5881"/>
    <w:rsid w:val="001B14AA"/>
    <w:rsid w:val="001E1144"/>
    <w:rsid w:val="001F597B"/>
    <w:rsid w:val="00205308"/>
    <w:rsid w:val="00212C7F"/>
    <w:rsid w:val="002231AE"/>
    <w:rsid w:val="00225B49"/>
    <w:rsid w:val="002E2482"/>
    <w:rsid w:val="002E4E13"/>
    <w:rsid w:val="002F2851"/>
    <w:rsid w:val="002F3810"/>
    <w:rsid w:val="0030358A"/>
    <w:rsid w:val="0036422B"/>
    <w:rsid w:val="00380CE9"/>
    <w:rsid w:val="00391F82"/>
    <w:rsid w:val="0039586D"/>
    <w:rsid w:val="003A2CAC"/>
    <w:rsid w:val="003A4B3E"/>
    <w:rsid w:val="003D546D"/>
    <w:rsid w:val="003F311B"/>
    <w:rsid w:val="003F669D"/>
    <w:rsid w:val="00404911"/>
    <w:rsid w:val="00414A38"/>
    <w:rsid w:val="00426092"/>
    <w:rsid w:val="00440BDB"/>
    <w:rsid w:val="00450F96"/>
    <w:rsid w:val="004552FE"/>
    <w:rsid w:val="00462183"/>
    <w:rsid w:val="00467699"/>
    <w:rsid w:val="004820BE"/>
    <w:rsid w:val="0048716B"/>
    <w:rsid w:val="004A2775"/>
    <w:rsid w:val="004B41C3"/>
    <w:rsid w:val="004C35F3"/>
    <w:rsid w:val="004E236A"/>
    <w:rsid w:val="00500D1B"/>
    <w:rsid w:val="00516A6F"/>
    <w:rsid w:val="00555BA2"/>
    <w:rsid w:val="00571476"/>
    <w:rsid w:val="005820A3"/>
    <w:rsid w:val="005831A5"/>
    <w:rsid w:val="005A17C9"/>
    <w:rsid w:val="005B67BD"/>
    <w:rsid w:val="005C0881"/>
    <w:rsid w:val="005C0F86"/>
    <w:rsid w:val="005D4100"/>
    <w:rsid w:val="005E1145"/>
    <w:rsid w:val="005E5441"/>
    <w:rsid w:val="005E6B1B"/>
    <w:rsid w:val="005F1F25"/>
    <w:rsid w:val="005F4D83"/>
    <w:rsid w:val="00604C29"/>
    <w:rsid w:val="006430C1"/>
    <w:rsid w:val="006B2779"/>
    <w:rsid w:val="006B6029"/>
    <w:rsid w:val="006C3E3A"/>
    <w:rsid w:val="006C4C03"/>
    <w:rsid w:val="006D0896"/>
    <w:rsid w:val="006E228C"/>
    <w:rsid w:val="006F406F"/>
    <w:rsid w:val="0070443A"/>
    <w:rsid w:val="0072455B"/>
    <w:rsid w:val="00767520"/>
    <w:rsid w:val="00767559"/>
    <w:rsid w:val="0077158A"/>
    <w:rsid w:val="00790085"/>
    <w:rsid w:val="00795732"/>
    <w:rsid w:val="00796BB1"/>
    <w:rsid w:val="007E7861"/>
    <w:rsid w:val="0081183E"/>
    <w:rsid w:val="00820DEF"/>
    <w:rsid w:val="00844B6E"/>
    <w:rsid w:val="00853083"/>
    <w:rsid w:val="00856712"/>
    <w:rsid w:val="00861C40"/>
    <w:rsid w:val="008866F6"/>
    <w:rsid w:val="008D11ED"/>
    <w:rsid w:val="008F3023"/>
    <w:rsid w:val="009033EE"/>
    <w:rsid w:val="00911CAE"/>
    <w:rsid w:val="009130E3"/>
    <w:rsid w:val="00943A17"/>
    <w:rsid w:val="0095719B"/>
    <w:rsid w:val="00980C14"/>
    <w:rsid w:val="009B5D51"/>
    <w:rsid w:val="009C171D"/>
    <w:rsid w:val="009D59CF"/>
    <w:rsid w:val="009E4249"/>
    <w:rsid w:val="00A0526F"/>
    <w:rsid w:val="00A07F71"/>
    <w:rsid w:val="00A1494E"/>
    <w:rsid w:val="00A228E2"/>
    <w:rsid w:val="00A27DD7"/>
    <w:rsid w:val="00A4293A"/>
    <w:rsid w:val="00A5052C"/>
    <w:rsid w:val="00A6118A"/>
    <w:rsid w:val="00A960EB"/>
    <w:rsid w:val="00AD6B69"/>
    <w:rsid w:val="00AE34EE"/>
    <w:rsid w:val="00B2347F"/>
    <w:rsid w:val="00B803AD"/>
    <w:rsid w:val="00B85E76"/>
    <w:rsid w:val="00B97F98"/>
    <w:rsid w:val="00BA4DB3"/>
    <w:rsid w:val="00BD6662"/>
    <w:rsid w:val="00BE5A88"/>
    <w:rsid w:val="00C02B88"/>
    <w:rsid w:val="00C369E8"/>
    <w:rsid w:val="00C44825"/>
    <w:rsid w:val="00C751C7"/>
    <w:rsid w:val="00C911E9"/>
    <w:rsid w:val="00C9646E"/>
    <w:rsid w:val="00CE1D77"/>
    <w:rsid w:val="00CE2BC0"/>
    <w:rsid w:val="00D11732"/>
    <w:rsid w:val="00D27CFD"/>
    <w:rsid w:val="00D407BD"/>
    <w:rsid w:val="00D64561"/>
    <w:rsid w:val="00DC1521"/>
    <w:rsid w:val="00DC472F"/>
    <w:rsid w:val="00DF0AB9"/>
    <w:rsid w:val="00E171BF"/>
    <w:rsid w:val="00E31296"/>
    <w:rsid w:val="00E51259"/>
    <w:rsid w:val="00E75C8F"/>
    <w:rsid w:val="00E901F9"/>
    <w:rsid w:val="00E952AB"/>
    <w:rsid w:val="00ED78A8"/>
    <w:rsid w:val="00EE4BC5"/>
    <w:rsid w:val="00F02898"/>
    <w:rsid w:val="00F15EB8"/>
    <w:rsid w:val="00F16644"/>
    <w:rsid w:val="00F52ECF"/>
    <w:rsid w:val="00F713A7"/>
    <w:rsid w:val="00F768EE"/>
    <w:rsid w:val="00F96246"/>
    <w:rsid w:val="00FA7EA5"/>
    <w:rsid w:val="00FB0317"/>
    <w:rsid w:val="00FB0EC0"/>
    <w:rsid w:val="00FC5E97"/>
    <w:rsid w:val="00FD6931"/>
    <w:rsid w:val="013C5314"/>
    <w:rsid w:val="01F52127"/>
    <w:rsid w:val="02CA185F"/>
    <w:rsid w:val="03433311"/>
    <w:rsid w:val="03C75CF1"/>
    <w:rsid w:val="05195543"/>
    <w:rsid w:val="05B47256"/>
    <w:rsid w:val="070255FE"/>
    <w:rsid w:val="07D01033"/>
    <w:rsid w:val="0A0745AE"/>
    <w:rsid w:val="0ACD4B83"/>
    <w:rsid w:val="0BB86BE8"/>
    <w:rsid w:val="0BD51707"/>
    <w:rsid w:val="0C8009DA"/>
    <w:rsid w:val="0DE10795"/>
    <w:rsid w:val="0E297097"/>
    <w:rsid w:val="0F5750B4"/>
    <w:rsid w:val="0FC223C5"/>
    <w:rsid w:val="10494266"/>
    <w:rsid w:val="1084266C"/>
    <w:rsid w:val="109255B3"/>
    <w:rsid w:val="12185578"/>
    <w:rsid w:val="1305450C"/>
    <w:rsid w:val="13C63FD0"/>
    <w:rsid w:val="145270D9"/>
    <w:rsid w:val="153B0F5F"/>
    <w:rsid w:val="1699418F"/>
    <w:rsid w:val="17746633"/>
    <w:rsid w:val="18C752EB"/>
    <w:rsid w:val="1B415B07"/>
    <w:rsid w:val="1C592E26"/>
    <w:rsid w:val="1CAD6CD0"/>
    <w:rsid w:val="1EB17BB6"/>
    <w:rsid w:val="208A6BC0"/>
    <w:rsid w:val="238F3DA0"/>
    <w:rsid w:val="23E80503"/>
    <w:rsid w:val="2576060F"/>
    <w:rsid w:val="2828644A"/>
    <w:rsid w:val="28355CE1"/>
    <w:rsid w:val="286A3316"/>
    <w:rsid w:val="28C82284"/>
    <w:rsid w:val="29634F7A"/>
    <w:rsid w:val="2BD67670"/>
    <w:rsid w:val="2CF25F4F"/>
    <w:rsid w:val="2F9A6BD2"/>
    <w:rsid w:val="306762A0"/>
    <w:rsid w:val="31CA1F8F"/>
    <w:rsid w:val="325C1068"/>
    <w:rsid w:val="32F151B0"/>
    <w:rsid w:val="33E46333"/>
    <w:rsid w:val="34334E3E"/>
    <w:rsid w:val="364806E3"/>
    <w:rsid w:val="36C84101"/>
    <w:rsid w:val="37865F53"/>
    <w:rsid w:val="38E31576"/>
    <w:rsid w:val="39762362"/>
    <w:rsid w:val="39AD3C63"/>
    <w:rsid w:val="39EC3F23"/>
    <w:rsid w:val="3D64414E"/>
    <w:rsid w:val="40A06600"/>
    <w:rsid w:val="41585EA6"/>
    <w:rsid w:val="41EC327B"/>
    <w:rsid w:val="4241240F"/>
    <w:rsid w:val="44781446"/>
    <w:rsid w:val="486A285C"/>
    <w:rsid w:val="4A0C644A"/>
    <w:rsid w:val="4A556FE7"/>
    <w:rsid w:val="4ECD5D6B"/>
    <w:rsid w:val="4F996CDF"/>
    <w:rsid w:val="4FA22329"/>
    <w:rsid w:val="50C36919"/>
    <w:rsid w:val="50D92B4F"/>
    <w:rsid w:val="51C95B83"/>
    <w:rsid w:val="538618DD"/>
    <w:rsid w:val="55E0167E"/>
    <w:rsid w:val="57A34829"/>
    <w:rsid w:val="57E51D69"/>
    <w:rsid w:val="58A75226"/>
    <w:rsid w:val="59BF3369"/>
    <w:rsid w:val="5B601A2C"/>
    <w:rsid w:val="5B9C02BE"/>
    <w:rsid w:val="5D221E8A"/>
    <w:rsid w:val="5EB547A7"/>
    <w:rsid w:val="60262A47"/>
    <w:rsid w:val="612857C0"/>
    <w:rsid w:val="618924C9"/>
    <w:rsid w:val="64542B12"/>
    <w:rsid w:val="648C53F0"/>
    <w:rsid w:val="64F8312A"/>
    <w:rsid w:val="65220AF2"/>
    <w:rsid w:val="65570EBC"/>
    <w:rsid w:val="67CC1DAF"/>
    <w:rsid w:val="68BF485A"/>
    <w:rsid w:val="69167C93"/>
    <w:rsid w:val="694326F5"/>
    <w:rsid w:val="6BC336CE"/>
    <w:rsid w:val="6E7879E4"/>
    <w:rsid w:val="6F9117F0"/>
    <w:rsid w:val="70D42214"/>
    <w:rsid w:val="711B5BCE"/>
    <w:rsid w:val="713B5219"/>
    <w:rsid w:val="716B1DC6"/>
    <w:rsid w:val="71EC74C3"/>
    <w:rsid w:val="7248047D"/>
    <w:rsid w:val="72B245D7"/>
    <w:rsid w:val="72B5493F"/>
    <w:rsid w:val="73587E51"/>
    <w:rsid w:val="73EC04A2"/>
    <w:rsid w:val="74084027"/>
    <w:rsid w:val="74AB1011"/>
    <w:rsid w:val="75463CF0"/>
    <w:rsid w:val="77216EC3"/>
    <w:rsid w:val="793F2C23"/>
    <w:rsid w:val="7A31152D"/>
    <w:rsid w:val="7A5934C4"/>
    <w:rsid w:val="7C8172E8"/>
    <w:rsid w:val="7CBF0865"/>
    <w:rsid w:val="7D0E31B9"/>
    <w:rsid w:val="7EEC7CF4"/>
    <w:rsid w:val="FEDFF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3">
    <w:name w:val="heading 4"/>
    <w:basedOn w:val="1"/>
    <w:next w:val="1"/>
    <w:semiHidden/>
    <w:unhideWhenUsed/>
    <w:qFormat/>
    <w:uiPriority w:val="0"/>
    <w:pPr>
      <w:spacing w:beforeAutospacing="1" w:afterAutospacing="1"/>
      <w:jc w:val="left"/>
      <w:outlineLvl w:val="3"/>
    </w:pPr>
    <w:rPr>
      <w:rFonts w:hint="eastAsia" w:ascii="宋体" w:hAnsi="宋体"/>
      <w:b/>
      <w:bCs/>
      <w:kern w:val="0"/>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footer"/>
    <w:basedOn w:val="1"/>
    <w:link w:val="23"/>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rPr>
  </w:style>
  <w:style w:type="character" w:styleId="10">
    <w:name w:val="page number"/>
    <w:basedOn w:val="9"/>
    <w:qFormat/>
    <w:uiPriority w:val="0"/>
  </w:style>
  <w:style w:type="character" w:styleId="11">
    <w:name w:val="Hyperlink"/>
    <w:basedOn w:val="9"/>
    <w:qFormat/>
    <w:uiPriority w:val="0"/>
    <w:rPr>
      <w:color w:val="0000FF"/>
      <w:u w:val="single"/>
    </w:rPr>
  </w:style>
  <w:style w:type="paragraph" w:customStyle="1" w:styleId="12">
    <w:name w:val="正文 首行缩进:  2 字符"/>
    <w:basedOn w:val="1"/>
    <w:qFormat/>
    <w:uiPriority w:val="0"/>
    <w:pPr>
      <w:ind w:firstLine="579" w:firstLineChars="200"/>
    </w:pPr>
    <w:rPr>
      <w:rFonts w:cs="宋体"/>
      <w:sz w:val="28"/>
    </w:rPr>
  </w:style>
  <w:style w:type="paragraph" w:customStyle="1" w:styleId="1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4">
    <w:name w:val="段"/>
    <w:link w:val="1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标准文件_章标题"/>
    <w:next w:val="15"/>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17">
    <w:name w:val="标准文件_一级条标题"/>
    <w:basedOn w:val="16"/>
    <w:next w:val="15"/>
    <w:qFormat/>
    <w:uiPriority w:val="0"/>
    <w:pPr>
      <w:numPr>
        <w:ilvl w:val="2"/>
      </w:numPr>
      <w:spacing w:beforeLines="50" w:afterLines="50"/>
      <w:outlineLvl w:val="1"/>
    </w:pPr>
  </w:style>
  <w:style w:type="paragraph" w:customStyle="1" w:styleId="18">
    <w:name w:val="标准文件_二级条标题"/>
    <w:next w:val="15"/>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character" w:customStyle="1" w:styleId="19">
    <w:name w:val="段 Char"/>
    <w:link w:val="14"/>
    <w:qFormat/>
    <w:locked/>
    <w:uiPriority w:val="0"/>
    <w:rPr>
      <w:rFonts w:ascii="宋体"/>
      <w:sz w:val="21"/>
    </w:rPr>
  </w:style>
  <w:style w:type="paragraph" w:customStyle="1" w:styleId="20">
    <w:name w:val="章标题"/>
    <w:next w:val="14"/>
    <w:qFormat/>
    <w:uiPriority w:val="0"/>
    <w:pPr>
      <w:numPr>
        <w:ilvl w:val="1"/>
        <w:numId w:val="2"/>
      </w:numPr>
      <w:spacing w:before="156" w:beforeLines="50" w:after="156" w:afterLines="50"/>
      <w:jc w:val="both"/>
      <w:outlineLvl w:val="1"/>
    </w:pPr>
    <w:rPr>
      <w:rFonts w:ascii="黑体" w:hAnsi="Times New Roman" w:eastAsia="黑体" w:cs="Times New Roman"/>
      <w:sz w:val="21"/>
      <w:lang w:val="en-US" w:eastAsia="zh-CN" w:bidi="ar-SA"/>
    </w:rPr>
  </w:style>
  <w:style w:type="paragraph" w:styleId="21">
    <w:name w:val="List Paragraph"/>
    <w:basedOn w:val="1"/>
    <w:qFormat/>
    <w:uiPriority w:val="99"/>
    <w:pPr>
      <w:ind w:firstLine="420" w:firstLineChars="200"/>
    </w:pPr>
  </w:style>
  <w:style w:type="character" w:customStyle="1" w:styleId="22">
    <w:name w:val="qh3r2a457ra"/>
    <w:basedOn w:val="9"/>
    <w:qFormat/>
    <w:uiPriority w:val="0"/>
  </w:style>
  <w:style w:type="character" w:customStyle="1" w:styleId="23">
    <w:name w:val="页脚 字符"/>
    <w:basedOn w:val="9"/>
    <w:link w:val="5"/>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5507</Words>
  <Characters>5746</Characters>
  <Lines>85</Lines>
  <Paragraphs>24</Paragraphs>
  <TotalTime>5</TotalTime>
  <ScaleCrop>false</ScaleCrop>
  <LinksUpToDate>false</LinksUpToDate>
  <CharactersWithSpaces>5948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2020-05-26T16:27:00Z</dcterms:created>
  <dc:creator>lenovo</dc:creator>
  <cp:lastModifiedBy>态度决定一切</cp:lastModifiedBy>
  <cp:lastPrinted>2023-06-06T15:40:00Z</cp:lastPrinted>
  <dcterms:modified xsi:type="dcterms:W3CDTF">2024-10-29T13:04:14Z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6EEF7DEC5BDF4A74A52BB3C15C790CBB</vt:lpwstr>
  </property>
</Properties>
</file>